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textAlignment w:val="baseline"/>
        <w:rPr>
          <w:rFonts w:ascii="黑体" w:hAnsi="黑体" w:eastAsia="黑体" w:cs="黑体"/>
          <w:color w:val="auto"/>
          <w:sz w:val="44"/>
          <w:szCs w:val="44"/>
          <w:highlight w:val="none"/>
          <w:u w:val="none"/>
        </w:rPr>
      </w:pPr>
      <w:r>
        <w:rPr>
          <w:rFonts w:hint="eastAsia" w:ascii="黑体" w:hAnsi="黑体" w:eastAsia="黑体" w:cs="黑体"/>
          <w:color w:val="auto"/>
          <w:szCs w:val="32"/>
          <w:highlight w:val="none"/>
          <w:u w:val="none"/>
        </w:rPr>
        <w:t>附件</w:t>
      </w:r>
    </w:p>
    <w:p>
      <w:pPr>
        <w:spacing w:line="560" w:lineRule="exact"/>
        <w:jc w:val="center"/>
        <w:textAlignment w:val="baseline"/>
        <w:rPr>
          <w:rFonts w:eastAsia="方正小标宋简体"/>
          <w:b/>
          <w:bCs/>
          <w:color w:val="auto"/>
          <w:sz w:val="44"/>
          <w:szCs w:val="44"/>
          <w:highlight w:val="none"/>
          <w:u w:val="none"/>
        </w:rPr>
      </w:pPr>
      <w:r>
        <w:rPr>
          <w:rFonts w:eastAsia="方正小标宋简体"/>
          <w:color w:val="auto"/>
          <w:sz w:val="44"/>
          <w:szCs w:val="44"/>
          <w:highlight w:val="none"/>
          <w:u w:val="none"/>
        </w:rPr>
        <w:t>湖南省绿色建筑标识</w:t>
      </w:r>
      <w:r>
        <w:rPr>
          <w:rFonts w:hint="eastAsia" w:eastAsia="方正小标宋简体"/>
          <w:color w:val="auto"/>
          <w:sz w:val="44"/>
          <w:szCs w:val="44"/>
          <w:highlight w:val="none"/>
          <w:u w:val="none"/>
          <w:lang w:val="en-US" w:eastAsia="zh-CN"/>
        </w:rPr>
        <w:t>管理</w:t>
      </w:r>
      <w:r>
        <w:rPr>
          <w:rFonts w:hint="eastAsia" w:eastAsia="方正小标宋简体"/>
          <w:color w:val="auto"/>
          <w:sz w:val="44"/>
          <w:szCs w:val="44"/>
          <w:highlight w:val="none"/>
          <w:u w:val="none"/>
        </w:rPr>
        <w:t>实施</w:t>
      </w:r>
      <w:r>
        <w:rPr>
          <w:rFonts w:eastAsia="方正小标宋简体"/>
          <w:color w:val="auto"/>
          <w:sz w:val="44"/>
          <w:szCs w:val="44"/>
          <w:highlight w:val="none"/>
          <w:u w:val="none"/>
        </w:rPr>
        <w:t>办法</w:t>
      </w:r>
    </w:p>
    <w:p>
      <w:pPr>
        <w:spacing w:beforeLines="50" w:line="560" w:lineRule="exact"/>
        <w:jc w:val="center"/>
        <w:textAlignment w:val="baseline"/>
        <w:rPr>
          <w:rFonts w:ascii="楷体_GB2312" w:hAnsi="楷体_GB2312" w:eastAsia="楷体_GB2312" w:cs="楷体_GB2312"/>
          <w:color w:val="auto"/>
          <w:szCs w:val="32"/>
          <w:highlight w:val="none"/>
          <w:u w:val="none"/>
        </w:rPr>
      </w:pPr>
      <w:r>
        <w:rPr>
          <w:rFonts w:hint="eastAsia" w:ascii="楷体_GB2312" w:hAnsi="楷体_GB2312" w:eastAsia="楷体_GB2312" w:cs="楷体_GB2312"/>
          <w:color w:val="auto"/>
          <w:szCs w:val="32"/>
          <w:highlight w:val="none"/>
          <w:u w:val="none"/>
        </w:rPr>
        <w:t>（</w:t>
      </w:r>
      <w:r>
        <w:rPr>
          <w:rFonts w:hint="eastAsia" w:ascii="楷体_GB2312" w:hAnsi="楷体_GB2312" w:eastAsia="楷体_GB2312" w:cs="楷体_GB2312"/>
          <w:color w:val="auto"/>
          <w:szCs w:val="32"/>
          <w:highlight w:val="none"/>
          <w:u w:val="none"/>
          <w:lang w:eastAsia="zh-CN"/>
        </w:rPr>
        <w:t>征求意见稿</w:t>
      </w:r>
      <w:r>
        <w:rPr>
          <w:rFonts w:hint="eastAsia" w:ascii="楷体_GB2312" w:hAnsi="楷体_GB2312" w:eastAsia="楷体_GB2312" w:cs="楷体_GB2312"/>
          <w:color w:val="auto"/>
          <w:szCs w:val="32"/>
          <w:highlight w:val="none"/>
          <w:u w:val="none"/>
        </w:rPr>
        <w:t>）</w:t>
      </w:r>
    </w:p>
    <w:p>
      <w:pPr>
        <w:spacing w:line="560" w:lineRule="exact"/>
        <w:jc w:val="center"/>
        <w:textAlignment w:val="baseline"/>
        <w:rPr>
          <w:rFonts w:eastAsia="黑体"/>
          <w:color w:val="auto"/>
          <w:szCs w:val="32"/>
          <w:highlight w:val="none"/>
          <w:u w:val="none"/>
        </w:rPr>
      </w:pPr>
    </w:p>
    <w:p>
      <w:pPr>
        <w:spacing w:line="560" w:lineRule="exact"/>
        <w:jc w:val="center"/>
        <w:textAlignment w:val="baseline"/>
        <w:rPr>
          <w:rFonts w:eastAsia="黑体"/>
          <w:color w:val="auto"/>
          <w:szCs w:val="32"/>
          <w:highlight w:val="none"/>
          <w:u w:val="none"/>
        </w:rPr>
      </w:pPr>
      <w:r>
        <w:rPr>
          <w:rFonts w:eastAsia="黑体"/>
          <w:color w:val="auto"/>
          <w:szCs w:val="32"/>
          <w:highlight w:val="none"/>
          <w:u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baseline"/>
        <w:rPr>
          <w:color w:val="auto"/>
          <w:szCs w:val="32"/>
          <w:highlight w:val="none"/>
          <w:u w:val="none"/>
        </w:rPr>
      </w:pPr>
      <w:r>
        <w:rPr>
          <w:b/>
          <w:bCs/>
          <w:color w:val="auto"/>
          <w:szCs w:val="32"/>
          <w:highlight w:val="none"/>
          <w:u w:val="none"/>
        </w:rPr>
        <w:t xml:space="preserve">第一条 </w:t>
      </w:r>
      <w:r>
        <w:rPr>
          <w:color w:val="auto"/>
          <w:szCs w:val="32"/>
          <w:highlight w:val="none"/>
          <w:u w:val="none"/>
        </w:rPr>
        <w:t>为规范我省绿色建筑标识管理</w:t>
      </w:r>
      <w:r>
        <w:rPr>
          <w:rFonts w:hint="eastAsia"/>
          <w:color w:val="auto"/>
          <w:szCs w:val="32"/>
          <w:highlight w:val="none"/>
          <w:u w:val="none"/>
        </w:rPr>
        <w:t>，</w:t>
      </w:r>
      <w:r>
        <w:rPr>
          <w:color w:val="auto"/>
          <w:szCs w:val="32"/>
          <w:highlight w:val="none"/>
          <w:u w:val="none"/>
        </w:rPr>
        <w:t>促进绿色建筑高质量发展，根据</w:t>
      </w:r>
      <w:r>
        <w:rPr>
          <w:color w:val="auto"/>
          <w:szCs w:val="32"/>
          <w:highlight w:val="none"/>
          <w:u w:val="none"/>
        </w:rPr>
        <w:t>《住房和城乡建设部关于印发绿色建筑标识管理办法的通知》（建标规〔2021〕1号）、</w:t>
      </w:r>
      <w:r>
        <w:rPr>
          <w:color w:val="auto"/>
          <w:szCs w:val="32"/>
          <w:highlight w:val="none"/>
          <w:u w:val="none"/>
        </w:rPr>
        <w:t>《湖</w:t>
      </w:r>
      <w:r>
        <w:rPr>
          <w:color w:val="auto"/>
          <w:szCs w:val="32"/>
          <w:highlight w:val="none"/>
          <w:u w:val="none"/>
        </w:rPr>
        <w:t>南省绿色建筑发展条例》（以下简称《条例》）和《湖南省人民政府办公厅关于推进新型建筑工业化发展的若干意见》（湘政办发〔2023〕57号）要求，制定本办法。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baseline"/>
        <w:rPr>
          <w:color w:val="auto"/>
          <w:highlight w:val="none"/>
          <w:u w:val="none"/>
        </w:rPr>
      </w:pPr>
      <w:r>
        <w:rPr>
          <w:b/>
          <w:bCs/>
          <w:color w:val="auto"/>
          <w:szCs w:val="32"/>
          <w:highlight w:val="none"/>
          <w:u w:val="none"/>
        </w:rPr>
        <w:t>第二条</w:t>
      </w:r>
      <w:r>
        <w:rPr>
          <w:color w:val="auto"/>
          <w:szCs w:val="32"/>
          <w:highlight w:val="none"/>
          <w:u w:val="none"/>
        </w:rPr>
        <w:t xml:space="preserve"> 本办法所称绿色建筑标识，是指表示绿色建筑星级并载有性能指标的信息标志，包括标牌和证书。绿色建筑标识采用住房和城乡建设部统一式样，证书</w:t>
      </w:r>
      <w:r>
        <w:rPr>
          <w:rFonts w:hint="eastAsia"/>
          <w:color w:val="auto"/>
          <w:szCs w:val="32"/>
          <w:highlight w:val="none"/>
          <w:u w:val="none"/>
        </w:rPr>
        <w:t>采用</w:t>
      </w:r>
      <w:r>
        <w:rPr>
          <w:color w:val="auto"/>
          <w:szCs w:val="32"/>
          <w:highlight w:val="none"/>
          <w:u w:val="none"/>
        </w:rPr>
        <w:t>电子证照</w:t>
      </w:r>
      <w:r>
        <w:rPr>
          <w:rFonts w:hint="eastAsia"/>
          <w:color w:val="auto"/>
          <w:szCs w:val="32"/>
          <w:highlight w:val="none"/>
          <w:u w:val="none"/>
        </w:rPr>
        <w:t>，</w:t>
      </w:r>
      <w:r>
        <w:rPr>
          <w:color w:val="auto"/>
          <w:szCs w:val="32"/>
          <w:highlight w:val="none"/>
          <w:u w:val="none"/>
        </w:rPr>
        <w:t>标牌由申请单位根据不同应用场景按照制作指南自行制作。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baseline"/>
        <w:rPr>
          <w:color w:val="auto"/>
          <w:szCs w:val="32"/>
          <w:highlight w:val="none"/>
          <w:u w:val="none"/>
        </w:rPr>
      </w:pPr>
      <w:r>
        <w:rPr>
          <w:b/>
          <w:bCs/>
          <w:color w:val="auto"/>
          <w:szCs w:val="32"/>
          <w:highlight w:val="none"/>
          <w:u w:val="none"/>
        </w:rPr>
        <w:t xml:space="preserve">第三条 </w:t>
      </w:r>
      <w:r>
        <w:rPr>
          <w:color w:val="auto"/>
          <w:szCs w:val="32"/>
          <w:highlight w:val="none"/>
          <w:u w:val="none"/>
        </w:rPr>
        <w:t>绿色建筑星级标识由低至高分为一星级、二星级和三星级3个级别。</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baseline"/>
        <w:rPr>
          <w:color w:val="auto"/>
          <w:szCs w:val="32"/>
          <w:highlight w:val="none"/>
          <w:u w:val="none"/>
        </w:rPr>
      </w:pPr>
      <w:r>
        <w:rPr>
          <w:color w:val="auto"/>
          <w:szCs w:val="32"/>
          <w:highlight w:val="none"/>
          <w:u w:val="none"/>
        </w:rPr>
        <w:t>绿色建筑</w:t>
      </w:r>
      <w:r>
        <w:rPr>
          <w:rFonts w:hint="eastAsia"/>
          <w:color w:val="auto"/>
          <w:szCs w:val="32"/>
          <w:highlight w:val="none"/>
          <w:u w:val="none"/>
        </w:rPr>
        <w:t>三</w:t>
      </w:r>
      <w:r>
        <w:rPr>
          <w:color w:val="auto"/>
          <w:szCs w:val="32"/>
          <w:highlight w:val="none"/>
          <w:u w:val="none"/>
        </w:rPr>
        <w:t>星级标识认定统一采用国家标准（新建民用建筑采用《绿色建筑评价标准》GB/T50378，工业建筑采用《绿色工业建筑评价标准》GB/T50878，既有建筑改造采用《既有建筑绿色改造评价标准》GB/T51141），二星级、一星级标识认定可采用国家标准或与国家标准相对应的地方标准。</w:t>
      </w:r>
      <w:r>
        <w:rPr>
          <w:rFonts w:eastAsia="仿宋"/>
          <w:color w:val="auto"/>
          <w:szCs w:val="32"/>
          <w:highlight w:val="none"/>
          <w:u w:val="none"/>
        </w:rPr>
        <w:t xml:space="preserve"> </w:t>
      </w:r>
    </w:p>
    <w:p>
      <w:pPr>
        <w:pStyle w:val="18"/>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rPr>
          <w:color w:val="auto"/>
          <w:szCs w:val="32"/>
          <w:highlight w:val="none"/>
          <w:u w:val="none"/>
        </w:rPr>
      </w:pPr>
      <w:r>
        <w:rPr>
          <w:rFonts w:hint="eastAsia" w:ascii="仿宋_GB2312" w:hAnsi="宋体" w:cs="宋体"/>
          <w:b/>
          <w:bCs/>
          <w:color w:val="auto"/>
          <w:szCs w:val="32"/>
          <w:highlight w:val="none"/>
          <w:u w:val="none"/>
        </w:rPr>
        <w:t>第四条</w:t>
      </w:r>
      <w:r>
        <w:rPr>
          <w:rFonts w:hint="eastAsia" w:ascii="仿宋_GB2312" w:hAnsi="Times New Roman" w:cs="Times New Roman"/>
          <w:color w:val="auto"/>
          <w:szCs w:val="32"/>
          <w:highlight w:val="none"/>
          <w:u w:val="none"/>
        </w:rPr>
        <w:t xml:space="preserve">  </w:t>
      </w:r>
      <w:r>
        <w:rPr>
          <w:color w:val="auto"/>
          <w:szCs w:val="32"/>
          <w:highlight w:val="none"/>
          <w:u w:val="none"/>
        </w:rPr>
        <w:t>省住房和城乡建设厅承担全省绿色建筑标识管理工作，负责认定二星级绿色建筑并授予标识，组织市州住房和城乡建设部门开展本地区一星级绿色建筑认定和标识授予工作，负责向住房和城乡建设部推荐三星级绿色建筑项目。具体事务性工作委托湖南省建筑节能和绿色建造技术中心实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baseline"/>
        <w:rPr>
          <w:color w:val="auto"/>
          <w:szCs w:val="32"/>
          <w:highlight w:val="none"/>
          <w:u w:val="none"/>
        </w:rPr>
      </w:pPr>
      <w:r>
        <w:rPr>
          <w:color w:val="auto"/>
          <w:szCs w:val="32"/>
          <w:highlight w:val="none"/>
          <w:u w:val="none"/>
        </w:rPr>
        <w:t>市州住房和城乡建设部门负责向省住房和城乡建设厅推荐二星级绿色建筑项目。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rPr>
          <w:color w:val="auto"/>
          <w:szCs w:val="32"/>
          <w:highlight w:val="none"/>
          <w:u w:val="none"/>
        </w:rPr>
      </w:pPr>
      <w:r>
        <w:rPr>
          <w:rFonts w:hint="eastAsia"/>
          <w:b/>
          <w:bCs/>
          <w:color w:val="auto"/>
          <w:szCs w:val="32"/>
          <w:highlight w:val="none"/>
          <w:u w:val="none"/>
        </w:rPr>
        <w:t>第五条</w:t>
      </w:r>
      <w:r>
        <w:rPr>
          <w:b/>
          <w:bCs/>
          <w:color w:val="auto"/>
          <w:szCs w:val="32"/>
          <w:highlight w:val="none"/>
          <w:u w:val="none"/>
        </w:rPr>
        <w:t xml:space="preserve"> </w:t>
      </w:r>
      <w:r>
        <w:rPr>
          <w:color w:val="auto"/>
          <w:szCs w:val="32"/>
          <w:highlight w:val="none"/>
          <w:u w:val="none"/>
        </w:rPr>
        <w:t>省住房和城乡建设厅建立省级绿色建筑专家库，承担二星级绿色建筑标识认定专家审查工作；市州住房和城乡建设部门建立市级绿色建筑专家库，承担一星级绿色建筑标识认定专家审查工作。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rPr>
          <w:color w:val="auto"/>
          <w:highlight w:val="none"/>
          <w:u w:val="none"/>
        </w:rPr>
      </w:pPr>
      <w:r>
        <w:rPr>
          <w:rFonts w:hint="eastAsia" w:ascii="Times New Roman" w:hAnsi="Times New Roman"/>
          <w:b/>
          <w:bCs/>
          <w:color w:val="auto"/>
          <w:szCs w:val="32"/>
          <w:highlight w:val="none"/>
          <w:u w:val="none"/>
        </w:rPr>
        <w:t>第六条</w:t>
      </w:r>
      <w:r>
        <w:rPr>
          <w:rFonts w:hint="eastAsia"/>
          <w:color w:val="auto"/>
          <w:highlight w:val="none"/>
          <w:u w:val="none"/>
        </w:rPr>
        <w:t xml:space="preserve">  住房和城乡建设主管部门应当健全绿色建筑管理制度，落实项目设计、图审、施工、验收、</w:t>
      </w:r>
      <w:r>
        <w:rPr>
          <w:rFonts w:hint="eastAsia"/>
          <w:color w:val="auto"/>
          <w:highlight w:val="none"/>
          <w:u w:val="none"/>
        </w:rPr>
        <w:t>运</w:t>
      </w:r>
      <w:r>
        <w:rPr>
          <w:rFonts w:hint="eastAsia"/>
          <w:color w:val="auto"/>
          <w:highlight w:val="none"/>
          <w:u w:val="none"/>
          <w:lang w:val="en-US" w:eastAsia="zh-CN"/>
        </w:rPr>
        <w:t>行</w:t>
      </w:r>
      <w:r>
        <w:rPr>
          <w:rFonts w:hint="eastAsia"/>
          <w:color w:val="auto"/>
          <w:highlight w:val="none"/>
          <w:u w:val="none"/>
        </w:rPr>
        <w:t>等环节绿色建筑标准管理要求。</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rPr>
          <w:color w:val="auto"/>
          <w:highlight w:val="none"/>
          <w:u w:val="none"/>
        </w:rPr>
      </w:pPr>
      <w:r>
        <w:rPr>
          <w:rFonts w:hint="eastAsia"/>
          <w:b/>
          <w:color w:val="auto"/>
          <w:highlight w:val="none"/>
          <w:u w:val="none"/>
        </w:rPr>
        <w:t xml:space="preserve">第七条 </w:t>
      </w:r>
      <w:r>
        <w:rPr>
          <w:rFonts w:hint="eastAsia"/>
          <w:b/>
          <w:color w:val="auto"/>
          <w:highlight w:val="none"/>
          <w:u w:val="none"/>
          <w:lang w:val="en-US" w:eastAsia="zh-CN"/>
        </w:rPr>
        <w:t xml:space="preserve"> </w:t>
      </w:r>
      <w:r>
        <w:rPr>
          <w:rFonts w:hint="eastAsia"/>
          <w:color w:val="auto"/>
          <w:highlight w:val="none"/>
          <w:u w:val="none"/>
        </w:rPr>
        <w:t>绿色建筑标识的申请、认定、公示、发证、管理和查询等工作，均通过“湖南省智慧住建云(</w:t>
      </w:r>
      <w:r>
        <w:rPr>
          <w:color w:val="auto"/>
          <w:highlight w:val="none"/>
          <w:u w:val="none"/>
        </w:rPr>
        <w:fldChar w:fldCharType="begin"/>
      </w:r>
      <w:r>
        <w:rPr>
          <w:color w:val="auto"/>
          <w:highlight w:val="none"/>
          <w:u w:val="none"/>
        </w:rPr>
        <w:instrText xml:space="preserve"> HYPERLINK "http://www.hunanjs.gov.cn" </w:instrText>
      </w:r>
      <w:r>
        <w:rPr>
          <w:color w:val="auto"/>
          <w:highlight w:val="none"/>
          <w:u w:val="none"/>
        </w:rPr>
        <w:fldChar w:fldCharType="separate"/>
      </w:r>
      <w:r>
        <w:rPr>
          <w:rStyle w:val="14"/>
          <w:rFonts w:hint="eastAsia"/>
          <w:color w:val="auto"/>
          <w:highlight w:val="none"/>
          <w:u w:val="none"/>
        </w:rPr>
        <w:t>www.hunanjs.gov.cn</w:t>
      </w:r>
      <w:r>
        <w:rPr>
          <w:rStyle w:val="14"/>
          <w:rFonts w:hint="eastAsia"/>
          <w:color w:val="auto"/>
          <w:highlight w:val="none"/>
          <w:u w:val="none"/>
        </w:rPr>
        <w:fldChar w:fldCharType="end"/>
      </w:r>
      <w:r>
        <w:rPr>
          <w:rFonts w:hint="eastAsia"/>
          <w:color w:val="auto"/>
          <w:highlight w:val="none"/>
          <w:u w:val="none"/>
        </w:rPr>
        <w:t>)”（以下简称“住建云”）实行全过程线上办理。</w:t>
      </w:r>
    </w:p>
    <w:p>
      <w:pPr>
        <w:spacing w:line="560" w:lineRule="exact"/>
        <w:jc w:val="center"/>
        <w:textAlignment w:val="baseline"/>
        <w:rPr>
          <w:rFonts w:eastAsia="黑体"/>
          <w:color w:val="auto"/>
          <w:szCs w:val="32"/>
          <w:highlight w:val="none"/>
          <w:u w:val="none"/>
        </w:rPr>
      </w:pPr>
    </w:p>
    <w:p>
      <w:pPr>
        <w:spacing w:line="560" w:lineRule="exact"/>
        <w:jc w:val="center"/>
        <w:textAlignment w:val="baseline"/>
        <w:rPr>
          <w:rFonts w:hint="default" w:eastAsia="黑体"/>
          <w:color w:val="auto"/>
          <w:szCs w:val="32"/>
          <w:highlight w:val="none"/>
          <w:u w:val="none"/>
          <w:lang w:val="en-US" w:eastAsia="zh-CN"/>
        </w:rPr>
      </w:pPr>
      <w:r>
        <w:rPr>
          <w:rFonts w:eastAsia="黑体"/>
          <w:color w:val="auto"/>
          <w:szCs w:val="32"/>
          <w:highlight w:val="none"/>
          <w:u w:val="none"/>
        </w:rPr>
        <w:t>第二章</w:t>
      </w:r>
      <w:r>
        <w:rPr>
          <w:rFonts w:hint="eastAsia" w:eastAsia="黑体"/>
          <w:color w:val="auto"/>
          <w:szCs w:val="32"/>
          <w:highlight w:val="none"/>
          <w:u w:val="none"/>
        </w:rPr>
        <w:t xml:space="preserve">  </w:t>
      </w:r>
      <w:r>
        <w:rPr>
          <w:rFonts w:hint="eastAsia" w:eastAsia="黑体"/>
          <w:color w:val="auto"/>
          <w:szCs w:val="32"/>
          <w:highlight w:val="none"/>
          <w:u w:val="none"/>
          <w:lang w:val="en-US" w:eastAsia="zh-CN"/>
        </w:rPr>
        <w:t>申报和审查</w:t>
      </w:r>
    </w:p>
    <w:p>
      <w:pPr>
        <w:pStyle w:val="8"/>
        <w:spacing w:before="0" w:beforeAutospacing="0" w:after="0" w:afterAutospacing="0" w:line="560" w:lineRule="exact"/>
        <w:ind w:firstLine="624" w:firstLineChars="200"/>
        <w:rPr>
          <w:rFonts w:hint="eastAsia" w:ascii="Calibri" w:hAnsi="Calibri" w:eastAsia="仿宋_GB2312" w:cs="Times New Roman"/>
          <w:color w:val="auto"/>
          <w:kern w:val="2"/>
          <w:sz w:val="32"/>
          <w:szCs w:val="21"/>
          <w:highlight w:val="none"/>
          <w:u w:val="none"/>
        </w:rPr>
      </w:pPr>
      <w:r>
        <w:rPr>
          <w:rFonts w:hint="eastAsia" w:ascii="仿宋_GB2312" w:eastAsia="仿宋_GB2312"/>
          <w:b/>
          <w:bCs/>
          <w:color w:val="auto"/>
          <w:sz w:val="32"/>
          <w:szCs w:val="32"/>
          <w:highlight w:val="none"/>
          <w:u w:val="none"/>
        </w:rPr>
        <w:t xml:space="preserve">第八条  </w:t>
      </w:r>
      <w:r>
        <w:rPr>
          <w:rFonts w:hint="eastAsia" w:ascii="Calibri" w:hAnsi="Calibri" w:eastAsia="仿宋_GB2312" w:cs="Times New Roman"/>
          <w:color w:val="auto"/>
          <w:kern w:val="2"/>
          <w:sz w:val="32"/>
          <w:szCs w:val="21"/>
          <w:highlight w:val="none"/>
          <w:u w:val="none"/>
          <w:lang w:val="en-US" w:eastAsia="zh-CN"/>
        </w:rPr>
        <w:t>申报</w:t>
      </w:r>
      <w:r>
        <w:rPr>
          <w:rFonts w:hint="eastAsia" w:ascii="Calibri" w:hAnsi="Calibri" w:eastAsia="仿宋_GB2312" w:cs="Times New Roman"/>
          <w:color w:val="auto"/>
          <w:kern w:val="2"/>
          <w:sz w:val="32"/>
          <w:szCs w:val="21"/>
          <w:highlight w:val="none"/>
          <w:u w:val="none"/>
        </w:rPr>
        <w:t>绿色建筑星级</w:t>
      </w:r>
      <w:r>
        <w:rPr>
          <w:rFonts w:hint="eastAsia" w:ascii="Calibri" w:hAnsi="Calibri" w:eastAsia="仿宋_GB2312" w:cs="Times New Roman"/>
          <w:color w:val="auto"/>
          <w:kern w:val="2"/>
          <w:sz w:val="32"/>
          <w:szCs w:val="21"/>
          <w:highlight w:val="none"/>
          <w:u w:val="none"/>
          <w:lang w:val="en-US" w:eastAsia="zh-CN"/>
        </w:rPr>
        <w:t>标识的工程</w:t>
      </w:r>
      <w:r>
        <w:rPr>
          <w:rFonts w:hint="eastAsia" w:ascii="Calibri" w:hAnsi="Calibri" w:eastAsia="仿宋_GB2312" w:cs="Times New Roman"/>
          <w:color w:val="auto"/>
          <w:kern w:val="2"/>
          <w:sz w:val="32"/>
          <w:szCs w:val="21"/>
          <w:highlight w:val="none"/>
          <w:u w:val="none"/>
        </w:rPr>
        <w:t>项目</w:t>
      </w:r>
      <w:r>
        <w:rPr>
          <w:rFonts w:hint="eastAsia" w:ascii="Calibri" w:hAnsi="Calibri" w:eastAsia="仿宋_GB2312" w:cs="Times New Roman"/>
          <w:color w:val="auto"/>
          <w:kern w:val="2"/>
          <w:sz w:val="32"/>
          <w:szCs w:val="21"/>
          <w:highlight w:val="none"/>
          <w:u w:val="none"/>
          <w:lang w:eastAsia="zh-CN"/>
        </w:rPr>
        <w:t>，</w:t>
      </w:r>
      <w:r>
        <w:rPr>
          <w:rFonts w:hint="eastAsia" w:ascii="Calibri" w:hAnsi="Calibri" w:eastAsia="仿宋_GB2312" w:cs="Times New Roman"/>
          <w:color w:val="auto"/>
          <w:kern w:val="2"/>
          <w:sz w:val="32"/>
          <w:szCs w:val="21"/>
          <w:highlight w:val="none"/>
          <w:u w:val="none"/>
          <w:lang w:val="en-US" w:eastAsia="zh-CN"/>
        </w:rPr>
        <w:t>建</w:t>
      </w:r>
      <w:r>
        <w:rPr>
          <w:rFonts w:hint="eastAsia" w:ascii="Calibri" w:hAnsi="Calibri" w:eastAsia="仿宋_GB2312" w:cs="Times New Roman"/>
          <w:color w:val="auto"/>
          <w:kern w:val="2"/>
          <w:sz w:val="32"/>
          <w:szCs w:val="21"/>
          <w:highlight w:val="none"/>
          <w:u w:val="none"/>
          <w:lang w:val="en-US" w:eastAsia="zh-CN"/>
        </w:rPr>
        <w:t>设单位</w:t>
      </w:r>
      <w:r>
        <w:rPr>
          <w:rFonts w:hint="eastAsia" w:ascii="Calibri" w:hAnsi="Calibri" w:eastAsia="仿宋_GB2312" w:cs="Times New Roman"/>
          <w:color w:val="auto"/>
          <w:kern w:val="2"/>
          <w:sz w:val="32"/>
          <w:szCs w:val="21"/>
          <w:highlight w:val="none"/>
          <w:u w:val="none"/>
        </w:rPr>
        <w:t>应当委托设计单位根据绿色建筑评价标准编制设计文件，并按照相对应绿色建筑标准开展自评，自评报告应作为施工图设计文件附件。</w:t>
      </w:r>
    </w:p>
    <w:p>
      <w:pPr>
        <w:pStyle w:val="2"/>
        <w:spacing w:line="560" w:lineRule="exact"/>
        <w:ind w:firstLine="624" w:firstLineChars="200"/>
        <w:rPr>
          <w:rFonts w:ascii="仿宋_GB2312" w:hAnsi="宋体" w:cs="宋体"/>
          <w:color w:val="auto"/>
          <w:szCs w:val="32"/>
          <w:highlight w:val="none"/>
          <w:u w:val="none"/>
        </w:rPr>
      </w:pPr>
      <w:r>
        <w:rPr>
          <w:rFonts w:hint="eastAsia" w:ascii="仿宋_GB2312" w:hAnsi="宋体" w:cs="宋体"/>
          <w:color w:val="auto"/>
          <w:szCs w:val="32"/>
          <w:highlight w:val="none"/>
          <w:u w:val="none"/>
        </w:rPr>
        <w:t>施工图审查机构应将施工图设计文件中执行绿色建筑标准情况纳入审查范围，对不符合要求的施工图设计文件，不</w:t>
      </w:r>
      <w:r>
        <w:rPr>
          <w:rFonts w:hint="eastAsia" w:ascii="仿宋_GB2312" w:hAnsi="宋体" w:cs="宋体"/>
          <w:color w:val="auto"/>
          <w:szCs w:val="32"/>
          <w:highlight w:val="none"/>
          <w:u w:val="none"/>
          <w:lang w:val="en-US" w:eastAsia="zh-CN"/>
        </w:rPr>
        <w:t>得</w:t>
      </w:r>
      <w:r>
        <w:rPr>
          <w:rFonts w:hint="eastAsia" w:ascii="仿宋_GB2312" w:hAnsi="宋体" w:cs="宋体"/>
          <w:color w:val="auto"/>
          <w:szCs w:val="32"/>
          <w:highlight w:val="none"/>
          <w:u w:val="none"/>
        </w:rPr>
        <w:t>出具审查合格意见。施工图设计文件确需变更的，应当按照施工图设计文件审查程序重新审查。</w:t>
      </w:r>
    </w:p>
    <w:p>
      <w:pPr>
        <w:widowControl/>
        <w:spacing w:line="560" w:lineRule="exact"/>
        <w:ind w:firstLine="624" w:firstLineChars="200"/>
        <w:rPr>
          <w:rFonts w:ascii="仿宋_GB2312"/>
          <w:color w:val="auto"/>
          <w:szCs w:val="32"/>
          <w:highlight w:val="none"/>
          <w:u w:val="none"/>
        </w:rPr>
      </w:pPr>
      <w:r>
        <w:rPr>
          <w:rFonts w:hint="eastAsia" w:ascii="仿宋_GB2312" w:hAnsi="宋体" w:cs="宋体"/>
          <w:b/>
          <w:bCs/>
          <w:color w:val="auto"/>
          <w:szCs w:val="32"/>
          <w:highlight w:val="none"/>
          <w:u w:val="none"/>
        </w:rPr>
        <w:t>第九条</w:t>
      </w:r>
      <w:r>
        <w:rPr>
          <w:rFonts w:hint="eastAsia" w:ascii="仿宋_GB2312" w:hAnsi="宋体" w:cs="宋体"/>
          <w:color w:val="auto"/>
          <w:szCs w:val="32"/>
          <w:highlight w:val="none"/>
          <w:u w:val="none"/>
        </w:rPr>
        <w:t xml:space="preserve">  施工单位应当根据施工图设计文件和</w:t>
      </w:r>
      <w:r>
        <w:rPr>
          <w:rFonts w:hint="eastAsia" w:ascii="仿宋_GB2312" w:hAnsi="宋体" w:cs="宋体"/>
          <w:color w:val="auto"/>
          <w:szCs w:val="32"/>
          <w:highlight w:val="none"/>
          <w:u w:val="none"/>
        </w:rPr>
        <w:t>绿色建筑标准</w:t>
      </w:r>
      <w:r>
        <w:rPr>
          <w:rFonts w:hint="eastAsia" w:ascii="仿宋_GB2312" w:hAnsi="宋体" w:cs="宋体"/>
          <w:color w:val="auto"/>
          <w:szCs w:val="32"/>
          <w:highlight w:val="none"/>
          <w:u w:val="none"/>
        </w:rPr>
        <w:t>，将绿色建筑技术措施、绿色建材等内容纳入施工方案，并组织实施。</w:t>
      </w:r>
      <w:r>
        <w:rPr>
          <w:rFonts w:hint="eastAsia" w:ascii="仿宋_GB2312"/>
          <w:color w:val="auto"/>
          <w:szCs w:val="32"/>
          <w:highlight w:val="none"/>
          <w:u w:val="none"/>
        </w:rPr>
        <w:t>监理单位应当根据施工图设计文件和绿色建筑标准，编制绿色建筑监理方案并实施监理。</w:t>
      </w:r>
    </w:p>
    <w:p>
      <w:pPr>
        <w:pStyle w:val="2"/>
        <w:spacing w:line="560" w:lineRule="exact"/>
        <w:rPr>
          <w:rFonts w:hint="default" w:eastAsia="仿宋_GB2312"/>
          <w:color w:val="auto"/>
          <w:szCs w:val="32"/>
          <w:highlight w:val="none"/>
          <w:u w:val="none"/>
          <w:lang w:eastAsia="zh-CN"/>
        </w:rPr>
      </w:pPr>
      <w:r>
        <w:rPr>
          <w:rFonts w:hint="eastAsia"/>
          <w:color w:val="auto"/>
          <w:highlight w:val="none"/>
          <w:u w:val="none"/>
        </w:rPr>
        <w:t xml:space="preserve">   </w:t>
      </w:r>
      <w:r>
        <w:rPr>
          <w:rFonts w:hint="default"/>
          <w:color w:val="auto"/>
          <w:highlight w:val="none"/>
          <w:u w:val="none"/>
        </w:rPr>
        <w:t xml:space="preserve"> </w:t>
      </w:r>
      <w:r>
        <w:rPr>
          <w:rFonts w:hint="eastAsia" w:ascii="仿宋_GB2312" w:hAnsi="宋体" w:cs="宋体"/>
          <w:b/>
          <w:bCs/>
          <w:color w:val="auto"/>
          <w:szCs w:val="32"/>
          <w:highlight w:val="none"/>
          <w:u w:val="none"/>
        </w:rPr>
        <w:t>第十条</w:t>
      </w:r>
      <w:r>
        <w:rPr>
          <w:rFonts w:hint="eastAsia"/>
          <w:color w:val="auto"/>
          <w:szCs w:val="32"/>
          <w:highlight w:val="none"/>
          <w:u w:val="none"/>
        </w:rPr>
        <w:t xml:space="preserve">  各级住房和城乡建设主管部门应将绿色建筑标准实施情况纳入现场质量安全监管范围，相关监督记录应及时录入“住建云”。 </w:t>
      </w:r>
    </w:p>
    <w:p>
      <w:pPr>
        <w:pStyle w:val="2"/>
        <w:spacing w:line="560" w:lineRule="exact"/>
        <w:rPr>
          <w:rFonts w:hint="default"/>
          <w:color w:val="auto"/>
          <w:szCs w:val="32"/>
          <w:highlight w:val="none"/>
          <w:u w:val="none"/>
          <w:lang w:eastAsia="zh-CN"/>
        </w:rPr>
      </w:pPr>
      <w:r>
        <w:rPr>
          <w:rFonts w:hint="default" w:ascii="仿宋_GB2312" w:hAnsi="宋体" w:cs="宋体"/>
          <w:b/>
          <w:bCs/>
          <w:color w:val="auto"/>
          <w:szCs w:val="32"/>
          <w:highlight w:val="none"/>
          <w:u w:val="none"/>
        </w:rPr>
        <w:t xml:space="preserve">    </w:t>
      </w:r>
      <w:r>
        <w:rPr>
          <w:rFonts w:hint="eastAsia" w:ascii="仿宋_GB2312" w:hAnsi="宋体" w:cs="宋体"/>
          <w:b/>
          <w:bCs/>
          <w:color w:val="auto"/>
          <w:szCs w:val="32"/>
          <w:highlight w:val="none"/>
          <w:u w:val="none"/>
        </w:rPr>
        <w:t xml:space="preserve">第十一条  </w:t>
      </w:r>
      <w:r>
        <w:rPr>
          <w:rFonts w:hint="eastAsia" w:ascii="仿宋_GB2312" w:hAnsi="宋体" w:cs="宋体"/>
          <w:color w:val="auto"/>
          <w:szCs w:val="32"/>
          <w:highlight w:val="none"/>
          <w:u w:val="none"/>
        </w:rPr>
        <w:t>建设单位组织竣工验收时，应当对项目是否符合施工图设计文件，以及绿色建筑标准实施情况进行查验。</w:t>
      </w:r>
      <w:r>
        <w:rPr>
          <w:rFonts w:hint="eastAsia"/>
          <w:color w:val="auto"/>
          <w:szCs w:val="32"/>
          <w:highlight w:val="none"/>
          <w:u w:val="none"/>
          <w:lang w:val="en-US" w:eastAsia="zh-CN"/>
        </w:rPr>
        <w:t>对</w:t>
      </w:r>
      <w:r>
        <w:rPr>
          <w:rFonts w:hint="eastAsia"/>
          <w:color w:val="auto"/>
          <w:szCs w:val="32"/>
          <w:highlight w:val="none"/>
          <w:u w:val="none"/>
          <w:lang w:val="en-US" w:eastAsia="zh-CN"/>
        </w:rPr>
        <w:t>不符合施工图设计文件和</w:t>
      </w:r>
      <w:r>
        <w:rPr>
          <w:rFonts w:hint="eastAsia"/>
          <w:color w:val="auto"/>
          <w:szCs w:val="32"/>
          <w:highlight w:val="none"/>
          <w:u w:val="none"/>
        </w:rPr>
        <w:t>绿色建筑</w:t>
      </w:r>
      <w:r>
        <w:rPr>
          <w:rFonts w:hint="eastAsia"/>
          <w:color w:val="auto"/>
          <w:szCs w:val="32"/>
          <w:highlight w:val="none"/>
          <w:u w:val="none"/>
          <w:lang w:val="en-US" w:eastAsia="zh-CN"/>
        </w:rPr>
        <w:t>标准</w:t>
      </w:r>
      <w:r>
        <w:rPr>
          <w:rFonts w:hint="default"/>
          <w:color w:val="auto"/>
          <w:szCs w:val="32"/>
          <w:highlight w:val="none"/>
          <w:u w:val="none"/>
          <w:lang w:eastAsia="zh-CN"/>
        </w:rPr>
        <w:t>的，不得出具竣工验收合格报告。</w:t>
      </w:r>
    </w:p>
    <w:p>
      <w:pPr>
        <w:spacing w:line="560" w:lineRule="exact"/>
        <w:textAlignment w:val="baseline"/>
        <w:rPr>
          <w:b/>
          <w:bCs/>
          <w:color w:val="auto"/>
          <w:szCs w:val="32"/>
          <w:highlight w:val="none"/>
          <w:u w:val="none"/>
        </w:rPr>
      </w:pPr>
      <w:r>
        <w:rPr>
          <w:rFonts w:hint="default"/>
          <w:b/>
          <w:bCs/>
          <w:color w:val="auto"/>
          <w:szCs w:val="32"/>
          <w:highlight w:val="none"/>
          <w:u w:val="none"/>
        </w:rPr>
        <w:t xml:space="preserve">    </w:t>
      </w:r>
      <w:r>
        <w:rPr>
          <w:b/>
          <w:bCs/>
          <w:color w:val="auto"/>
          <w:szCs w:val="32"/>
          <w:highlight w:val="none"/>
          <w:u w:val="none"/>
        </w:rPr>
        <w:t>第</w:t>
      </w:r>
      <w:r>
        <w:rPr>
          <w:rFonts w:hint="eastAsia"/>
          <w:b/>
          <w:bCs/>
          <w:color w:val="auto"/>
          <w:szCs w:val="32"/>
          <w:highlight w:val="none"/>
          <w:u w:val="none"/>
        </w:rPr>
        <w:t>十二</w:t>
      </w:r>
      <w:r>
        <w:rPr>
          <w:b/>
          <w:bCs/>
          <w:color w:val="auto"/>
          <w:szCs w:val="32"/>
          <w:highlight w:val="none"/>
          <w:u w:val="none"/>
        </w:rPr>
        <w:t>条</w:t>
      </w:r>
      <w:r>
        <w:rPr>
          <w:rFonts w:hint="eastAsia"/>
          <w:b/>
          <w:bCs/>
          <w:color w:val="auto"/>
          <w:szCs w:val="32"/>
          <w:highlight w:val="none"/>
          <w:u w:val="none"/>
        </w:rPr>
        <w:t xml:space="preserve">  </w:t>
      </w:r>
      <w:r>
        <w:rPr>
          <w:color w:val="auto"/>
          <w:szCs w:val="32"/>
          <w:highlight w:val="none"/>
          <w:u w:val="none"/>
        </w:rPr>
        <w:t>建设工程竣工验收并完成备案</w:t>
      </w:r>
      <w:r>
        <w:rPr>
          <w:rFonts w:hint="eastAsia"/>
          <w:color w:val="auto"/>
          <w:szCs w:val="32"/>
          <w:highlight w:val="none"/>
          <w:u w:val="none"/>
        </w:rPr>
        <w:t>后，可由</w:t>
      </w:r>
      <w:r>
        <w:rPr>
          <w:color w:val="auto"/>
          <w:szCs w:val="32"/>
          <w:highlight w:val="none"/>
          <w:u w:val="none"/>
        </w:rPr>
        <w:t>项目建设单位、运营单位或业主单位</w:t>
      </w:r>
      <w:r>
        <w:rPr>
          <w:rFonts w:hint="eastAsia"/>
          <w:color w:val="auto"/>
          <w:szCs w:val="32"/>
          <w:highlight w:val="none"/>
          <w:u w:val="none"/>
        </w:rPr>
        <w:t>申</w:t>
      </w:r>
      <w:r>
        <w:rPr>
          <w:rFonts w:hint="default"/>
          <w:color w:val="auto"/>
          <w:szCs w:val="32"/>
          <w:highlight w:val="none"/>
          <w:u w:val="none"/>
        </w:rPr>
        <w:t>请认定</w:t>
      </w:r>
      <w:r>
        <w:rPr>
          <w:rFonts w:hint="eastAsia"/>
          <w:color w:val="auto"/>
          <w:szCs w:val="32"/>
          <w:highlight w:val="none"/>
          <w:u w:val="none"/>
        </w:rPr>
        <w:t>绿色建筑星级标识</w:t>
      </w:r>
      <w:r>
        <w:rPr>
          <w:color w:val="auto"/>
          <w:szCs w:val="32"/>
          <w:highlight w:val="none"/>
          <w:u w:val="none"/>
        </w:rPr>
        <w:t>，鼓励设计、施工和咨询等相关单位共同参与申</w:t>
      </w:r>
      <w:r>
        <w:rPr>
          <w:rFonts w:hint="eastAsia"/>
          <w:color w:val="auto"/>
          <w:szCs w:val="32"/>
          <w:highlight w:val="none"/>
          <w:u w:val="none"/>
        </w:rPr>
        <w:t>请</w:t>
      </w:r>
      <w:r>
        <w:rPr>
          <w:color w:val="auto"/>
          <w:szCs w:val="32"/>
          <w:highlight w:val="none"/>
          <w:u w:val="none"/>
        </w:rPr>
        <w:t>。</w:t>
      </w:r>
    </w:p>
    <w:p>
      <w:pPr>
        <w:spacing w:line="560" w:lineRule="exact"/>
        <w:ind w:firstLine="624" w:firstLineChars="200"/>
        <w:textAlignment w:val="baseline"/>
        <w:rPr>
          <w:color w:val="auto"/>
          <w:szCs w:val="32"/>
          <w:highlight w:val="none"/>
          <w:u w:val="none"/>
        </w:rPr>
      </w:pPr>
      <w:r>
        <w:rPr>
          <w:rFonts w:hint="eastAsia"/>
          <w:b/>
          <w:bCs/>
          <w:color w:val="auto"/>
          <w:szCs w:val="32"/>
          <w:highlight w:val="none"/>
          <w:u w:val="none"/>
        </w:rPr>
        <w:t xml:space="preserve">第十三条 </w:t>
      </w:r>
      <w:r>
        <w:rPr>
          <w:rFonts w:hint="eastAsia"/>
          <w:b/>
          <w:bCs/>
          <w:color w:val="auto"/>
          <w:szCs w:val="32"/>
          <w:highlight w:val="none"/>
          <w:u w:val="none"/>
          <w:lang w:val="en-US" w:eastAsia="zh-CN"/>
        </w:rPr>
        <w:t xml:space="preserve"> </w:t>
      </w:r>
      <w:r>
        <w:rPr>
          <w:rFonts w:hint="default"/>
          <w:b w:val="0"/>
          <w:bCs w:val="0"/>
          <w:color w:val="auto"/>
          <w:szCs w:val="32"/>
          <w:highlight w:val="none"/>
          <w:u w:val="none"/>
        </w:rPr>
        <w:t>申请认定</w:t>
      </w:r>
      <w:r>
        <w:rPr>
          <w:color w:val="auto"/>
          <w:szCs w:val="32"/>
          <w:highlight w:val="none"/>
          <w:u w:val="none"/>
        </w:rPr>
        <w:t xml:space="preserve">材料应包括以下内容： </w:t>
      </w:r>
    </w:p>
    <w:p>
      <w:pPr>
        <w:spacing w:line="560" w:lineRule="exact"/>
        <w:ind w:firstLine="624" w:firstLineChars="200"/>
        <w:textAlignment w:val="baseline"/>
        <w:rPr>
          <w:color w:val="auto"/>
          <w:szCs w:val="32"/>
          <w:highlight w:val="none"/>
          <w:u w:val="none"/>
        </w:rPr>
      </w:pPr>
      <w:r>
        <w:rPr>
          <w:color w:val="auto"/>
          <w:szCs w:val="32"/>
          <w:highlight w:val="none"/>
          <w:u w:val="none"/>
        </w:rPr>
        <w:t>（一）绿色建筑标识申报书</w:t>
      </w:r>
      <w:r>
        <w:rPr>
          <w:rFonts w:hint="eastAsia"/>
          <w:color w:val="auto"/>
          <w:szCs w:val="32"/>
          <w:highlight w:val="none"/>
          <w:u w:val="none"/>
          <w:lang w:val="en-US" w:eastAsia="zh-CN"/>
        </w:rPr>
        <w:t>和自评估报告</w:t>
      </w:r>
      <w:r>
        <w:rPr>
          <w:color w:val="auto"/>
          <w:szCs w:val="32"/>
          <w:highlight w:val="none"/>
          <w:u w:val="none"/>
        </w:rPr>
        <w:t xml:space="preserve">; </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color w:val="auto"/>
          <w:highlight w:val="none"/>
          <w:u w:val="none"/>
        </w:rPr>
      </w:pPr>
      <w:r>
        <w:rPr>
          <w:rFonts w:hint="eastAsia" w:ascii="Times New Roman" w:hAnsi="Times New Roman" w:cs="Times New Roman"/>
          <w:color w:val="auto"/>
          <w:sz w:val="32"/>
          <w:szCs w:val="32"/>
          <w:highlight w:val="none"/>
          <w:u w:val="none"/>
          <w:lang w:val="en-US" w:eastAsia="zh-CN"/>
        </w:rPr>
        <w:t>（二）</w:t>
      </w:r>
      <w:r>
        <w:rPr>
          <w:rFonts w:hint="default" w:ascii="Times New Roman" w:hAnsi="Times New Roman" w:eastAsia="仿宋_GB2312" w:cs="Times New Roman"/>
          <w:color w:val="auto"/>
          <w:sz w:val="32"/>
          <w:szCs w:val="32"/>
          <w:highlight w:val="none"/>
          <w:u w:val="none"/>
          <w:lang w:val="en-US" w:eastAsia="zh-CN"/>
        </w:rPr>
        <w:t xml:space="preserve">与标识认定相关的图纸、报告、计算书、图片、视频等技术文件; </w:t>
      </w:r>
    </w:p>
    <w:p>
      <w:pPr>
        <w:spacing w:line="560" w:lineRule="exact"/>
        <w:ind w:firstLine="624" w:firstLineChars="200"/>
        <w:textAlignment w:val="baseline"/>
        <w:rPr>
          <w:rFonts w:hint="eastAsia"/>
          <w:strike/>
          <w:dstrike w:val="0"/>
          <w:color w:val="auto"/>
          <w:szCs w:val="32"/>
          <w:highlight w:val="none"/>
          <w:u w:val="none"/>
        </w:rPr>
      </w:pPr>
      <w:r>
        <w:rPr>
          <w:color w:val="auto"/>
          <w:szCs w:val="32"/>
          <w:highlight w:val="none"/>
          <w:u w:val="none"/>
        </w:rPr>
        <w:t>（</w:t>
      </w:r>
      <w:r>
        <w:rPr>
          <w:rFonts w:hint="eastAsia"/>
          <w:color w:val="auto"/>
          <w:szCs w:val="32"/>
          <w:highlight w:val="none"/>
          <w:u w:val="none"/>
          <w:lang w:val="en-US" w:eastAsia="zh-CN"/>
        </w:rPr>
        <w:t>三</w:t>
      </w:r>
      <w:r>
        <w:rPr>
          <w:color w:val="auto"/>
          <w:szCs w:val="32"/>
          <w:highlight w:val="none"/>
          <w:u w:val="none"/>
        </w:rPr>
        <w:t>）每年上报主要绿色性能指标运行数据的承诺函。</w:t>
      </w:r>
      <w:r>
        <w:rPr>
          <w:rFonts w:eastAsia="仿宋"/>
          <w:color w:val="auto"/>
          <w:kern w:val="0"/>
          <w:sz w:val="31"/>
          <w:szCs w:val="31"/>
          <w:highlight w:val="none"/>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4" w:firstLineChars="200"/>
        <w:jc w:val="left"/>
        <w:rPr>
          <w:color w:val="auto"/>
          <w:highlight w:val="none"/>
          <w:u w:val="none"/>
        </w:rPr>
      </w:pPr>
      <w:r>
        <w:rPr>
          <w:rFonts w:hint="eastAsia" w:ascii="Times New Roman" w:hAnsi="Times New Roman" w:cs="Times New Roman"/>
          <w:b/>
          <w:bCs/>
          <w:color w:val="auto"/>
          <w:sz w:val="32"/>
          <w:szCs w:val="32"/>
          <w:highlight w:val="none"/>
          <w:u w:val="none"/>
          <w:lang w:val="en-US" w:eastAsia="zh-CN"/>
        </w:rPr>
        <w:t>第十四条</w:t>
      </w:r>
      <w:r>
        <w:rPr>
          <w:rFonts w:hint="eastAsia" w:ascii="Times New Roman" w:hAnsi="Times New Roman"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申报二星级绿色建筑标识的项目，经市州住</w:t>
      </w:r>
      <w:r>
        <w:rPr>
          <w:rFonts w:hint="default" w:ascii="Times New Roman" w:hAnsi="Times New Roman" w:eastAsia="仿宋_GB2312" w:cs="Times New Roman"/>
          <w:color w:val="auto"/>
          <w:sz w:val="32"/>
          <w:szCs w:val="32"/>
          <w:highlight w:val="none"/>
          <w:u w:val="none"/>
        </w:rPr>
        <w:t>房和城乡建设部门</w:t>
      </w:r>
      <w:r>
        <w:rPr>
          <w:rFonts w:hint="default" w:ascii="Times New Roman" w:hAnsi="Times New Roman" w:eastAsia="仿宋_GB2312" w:cs="Times New Roman"/>
          <w:color w:val="auto"/>
          <w:sz w:val="32"/>
          <w:szCs w:val="32"/>
          <w:highlight w:val="none"/>
          <w:u w:val="none"/>
          <w:lang w:val="en-US" w:eastAsia="zh-CN"/>
        </w:rPr>
        <w:t>初审合格后，推荐至省住房和城乡建设厅。</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Times New Roman" w:hAnsi="Times New Roman" w:cs="Times New Roman"/>
          <w:b/>
          <w:bCs/>
          <w:color w:val="auto"/>
          <w:sz w:val="32"/>
          <w:szCs w:val="32"/>
          <w:highlight w:val="none"/>
          <w:u w:val="none"/>
        </w:rPr>
      </w:pPr>
      <w:r>
        <w:rPr>
          <w:rFonts w:hint="eastAsia" w:ascii="Times New Roman" w:hAnsi="Times New Roman" w:cs="Times New Roman"/>
          <w:b/>
          <w:bCs/>
          <w:color w:val="auto"/>
          <w:sz w:val="32"/>
          <w:szCs w:val="32"/>
          <w:highlight w:val="none"/>
          <w:u w:val="none"/>
          <w:lang w:val="en-US" w:eastAsia="zh-CN"/>
        </w:rPr>
        <w:t>第十五条</w:t>
      </w:r>
      <w:r>
        <w:rPr>
          <w:rFonts w:hint="eastAsia" w:ascii="Times New Roman" w:hAnsi="Times New Roman" w:cs="Times New Roman"/>
          <w:color w:val="auto"/>
          <w:sz w:val="32"/>
          <w:szCs w:val="32"/>
          <w:highlight w:val="none"/>
          <w:u w:val="none"/>
          <w:lang w:val="en-US" w:eastAsia="zh-CN"/>
        </w:rPr>
        <w:t xml:space="preserve">  </w:t>
      </w:r>
      <w:r>
        <w:rPr>
          <w:rFonts w:hint="default" w:ascii="Times New Roman" w:hAnsi="Times New Roman" w:cs="Times New Roman"/>
          <w:b w:val="0"/>
          <w:bCs w:val="0"/>
          <w:color w:val="auto"/>
          <w:sz w:val="32"/>
          <w:szCs w:val="32"/>
          <w:highlight w:val="none"/>
          <w:u w:val="none"/>
        </w:rPr>
        <w:t>住房和城乡建设部门应组织专家</w:t>
      </w:r>
      <w:r>
        <w:rPr>
          <w:rFonts w:hint="default" w:ascii="Times New Roman" w:hAnsi="Times New Roman" w:cs="Times New Roman"/>
          <w:b w:val="0"/>
          <w:bCs w:val="0"/>
          <w:color w:val="auto"/>
          <w:sz w:val="32"/>
          <w:szCs w:val="32"/>
          <w:highlight w:val="none"/>
          <w:u w:val="none"/>
          <w:lang w:val="en-US" w:eastAsia="zh-CN"/>
        </w:rPr>
        <w:t>审查，按照绿色建筑评价标准审查绿色建筑性能，</w:t>
      </w:r>
      <w:r>
        <w:rPr>
          <w:rFonts w:hint="default" w:ascii="Times New Roman" w:hAnsi="Times New Roman" w:cs="Times New Roman"/>
          <w:b w:val="0"/>
          <w:bCs w:val="0"/>
          <w:color w:val="auto"/>
          <w:sz w:val="32"/>
          <w:szCs w:val="32"/>
          <w:highlight w:val="none"/>
          <w:u w:val="none"/>
        </w:rPr>
        <w:t>确定绿色建筑星级。审查中无法确定的项目技术内容，</w:t>
      </w:r>
      <w:r>
        <w:rPr>
          <w:rFonts w:hint="default" w:ascii="Times New Roman" w:hAnsi="Times New Roman" w:cs="Times New Roman"/>
          <w:b w:val="0"/>
          <w:bCs w:val="0"/>
          <w:color w:val="auto"/>
          <w:sz w:val="32"/>
          <w:szCs w:val="32"/>
          <w:highlight w:val="none"/>
          <w:u w:val="none"/>
          <w:lang w:val="en-US" w:eastAsia="zh-CN"/>
        </w:rPr>
        <w:t>可</w:t>
      </w:r>
      <w:r>
        <w:rPr>
          <w:rFonts w:hint="default" w:ascii="Times New Roman" w:hAnsi="Times New Roman" w:cs="Times New Roman"/>
          <w:b w:val="0"/>
          <w:bCs w:val="0"/>
          <w:color w:val="auto"/>
          <w:sz w:val="32"/>
          <w:szCs w:val="32"/>
          <w:highlight w:val="none"/>
          <w:u w:val="none"/>
        </w:rPr>
        <w:t>组织专家进行现场核查。</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color w:val="auto"/>
          <w:highlight w:val="none"/>
          <w:u w:val="none"/>
        </w:rPr>
      </w:pPr>
      <w:r>
        <w:rPr>
          <w:rFonts w:hint="default" w:ascii="Times New Roman" w:hAnsi="Times New Roman" w:cs="Times New Roman"/>
          <w:b/>
          <w:bCs/>
          <w:color w:val="auto"/>
          <w:sz w:val="32"/>
          <w:szCs w:val="32"/>
          <w:highlight w:val="none"/>
          <w:u w:val="none"/>
        </w:rPr>
        <w:t>第十</w:t>
      </w:r>
      <w:r>
        <w:rPr>
          <w:rFonts w:hint="eastAsia" w:ascii="Times New Roman" w:hAnsi="Times New Roman" w:cs="Times New Roman"/>
          <w:b/>
          <w:bCs/>
          <w:color w:val="auto"/>
          <w:sz w:val="32"/>
          <w:szCs w:val="32"/>
          <w:highlight w:val="none"/>
          <w:u w:val="none"/>
          <w:lang w:val="en-US" w:eastAsia="zh-CN"/>
        </w:rPr>
        <w:t>六</w:t>
      </w:r>
      <w:r>
        <w:rPr>
          <w:rFonts w:hint="default" w:ascii="Times New Roman" w:hAnsi="Times New Roman" w:cs="Times New Roman"/>
          <w:b/>
          <w:bCs/>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w:t>
      </w:r>
      <w:r>
        <w:rPr>
          <w:rFonts w:hint="eastAsia"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绿色建筑审查专家</w:t>
      </w:r>
      <w:r>
        <w:rPr>
          <w:rFonts w:hint="default" w:ascii="Times New Roman" w:hAnsi="Times New Roman" w:eastAsia="仿宋_GB2312" w:cs="Times New Roman"/>
          <w:color w:val="auto"/>
          <w:sz w:val="32"/>
          <w:szCs w:val="32"/>
          <w:highlight w:val="none"/>
          <w:u w:val="none"/>
          <w:lang w:val="en-US" w:eastAsia="zh-CN"/>
        </w:rPr>
        <w:t>由</w:t>
      </w:r>
      <w:r>
        <w:rPr>
          <w:rFonts w:hint="default" w:ascii="Times New Roman" w:hAnsi="Times New Roman" w:eastAsia="仿宋_GB2312" w:cs="Times New Roman"/>
          <w:color w:val="auto"/>
          <w:sz w:val="32"/>
          <w:szCs w:val="32"/>
          <w:highlight w:val="none"/>
          <w:u w:val="none"/>
        </w:rPr>
        <w:t>规划、建筑、结构、给排水、电气（含智能化）、暖通、建筑物理等相关专业组成，数量</w:t>
      </w:r>
      <w:r>
        <w:rPr>
          <w:rFonts w:hint="default" w:ascii="Times New Roman" w:hAnsi="Times New Roman" w:eastAsia="仿宋_GB2312" w:cs="Times New Roman"/>
          <w:color w:val="auto"/>
          <w:sz w:val="32"/>
          <w:szCs w:val="32"/>
          <w:highlight w:val="none"/>
          <w:u w:val="none"/>
          <w:lang w:val="en-US" w:eastAsia="zh-CN"/>
        </w:rPr>
        <w:t>一般不少于</w:t>
      </w:r>
      <w:r>
        <w:rPr>
          <w:rFonts w:hint="default" w:ascii="Times New Roman" w:hAnsi="Times New Roman" w:eastAsia="仿宋_GB2312" w:cs="Times New Roman"/>
          <w:color w:val="auto"/>
          <w:sz w:val="32"/>
          <w:szCs w:val="32"/>
          <w:highlight w:val="none"/>
          <w:u w:val="none"/>
        </w:rPr>
        <w:t>7名，可根据申报项目开展认定时的实际需要进行调整。</w:t>
      </w:r>
    </w:p>
    <w:p>
      <w:pPr>
        <w:spacing w:line="560" w:lineRule="exact"/>
        <w:ind w:firstLine="624" w:firstLineChars="200"/>
        <w:textAlignment w:val="baseline"/>
        <w:rPr>
          <w:color w:val="auto"/>
          <w:szCs w:val="32"/>
          <w:highlight w:val="none"/>
          <w:u w:val="none"/>
        </w:rPr>
      </w:pPr>
      <w:r>
        <w:rPr>
          <w:b/>
          <w:bCs/>
          <w:color w:val="auto"/>
          <w:szCs w:val="32"/>
          <w:highlight w:val="none"/>
          <w:u w:val="none"/>
        </w:rPr>
        <w:t>第十</w:t>
      </w:r>
      <w:r>
        <w:rPr>
          <w:rFonts w:hint="eastAsia"/>
          <w:b/>
          <w:bCs/>
          <w:color w:val="auto"/>
          <w:szCs w:val="32"/>
          <w:highlight w:val="none"/>
          <w:u w:val="none"/>
          <w:lang w:val="en-US" w:eastAsia="zh-CN"/>
        </w:rPr>
        <w:t>七</w:t>
      </w:r>
      <w:r>
        <w:rPr>
          <w:b/>
          <w:bCs/>
          <w:color w:val="auto"/>
          <w:szCs w:val="32"/>
          <w:highlight w:val="none"/>
          <w:u w:val="none"/>
        </w:rPr>
        <w:t xml:space="preserve">条 </w:t>
      </w:r>
      <w:r>
        <w:rPr>
          <w:rFonts w:hint="eastAsia"/>
          <w:b/>
          <w:bCs/>
          <w:color w:val="auto"/>
          <w:szCs w:val="32"/>
          <w:highlight w:val="none"/>
          <w:u w:val="none"/>
          <w:lang w:val="en-US" w:eastAsia="zh-CN"/>
        </w:rPr>
        <w:t xml:space="preserve"> </w:t>
      </w:r>
      <w:r>
        <w:rPr>
          <w:color w:val="auto"/>
          <w:szCs w:val="32"/>
          <w:highlight w:val="none"/>
          <w:u w:val="none"/>
        </w:rPr>
        <w:t>住房和城乡建设部门应将评审结果在门户网站进行公示。公示内容包括项目所在地、类型、名称、申报单位、绿色建筑星级和关键技术指标等，公示期不少于7个工作日。</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eastAsia="仿宋_GB2312"/>
          <w:color w:val="auto"/>
          <w:highlight w:val="none"/>
          <w:u w:val="none"/>
          <w:lang w:val="en-US" w:eastAsia="zh-CN"/>
        </w:rPr>
      </w:pPr>
      <w:r>
        <w:rPr>
          <w:rFonts w:hint="default" w:ascii="Times New Roman" w:hAnsi="Times New Roman" w:eastAsia="仿宋_GB2312" w:cs="Times New Roman"/>
          <w:color w:val="auto"/>
          <w:sz w:val="32"/>
          <w:szCs w:val="32"/>
          <w:highlight w:val="none"/>
          <w:u w:val="none"/>
        </w:rPr>
        <w:t>一星级绿色建筑标识认定项目公示结束无异议后，</w:t>
      </w:r>
      <w:r>
        <w:rPr>
          <w:rFonts w:hint="default" w:ascii="Times New Roman" w:hAnsi="Times New Roman" w:eastAsia="仿宋_GB2312" w:cs="Times New Roman"/>
          <w:color w:val="auto"/>
          <w:sz w:val="32"/>
          <w:szCs w:val="32"/>
          <w:highlight w:val="none"/>
          <w:u w:val="none"/>
          <w:lang w:val="en-US" w:eastAsia="zh-CN"/>
        </w:rPr>
        <w:t>由</w:t>
      </w:r>
      <w:r>
        <w:rPr>
          <w:rFonts w:hint="default" w:ascii="Times New Roman" w:hAnsi="Times New Roman" w:eastAsia="仿宋_GB2312" w:cs="Times New Roman"/>
          <w:color w:val="auto"/>
          <w:sz w:val="32"/>
          <w:szCs w:val="32"/>
          <w:highlight w:val="none"/>
          <w:u w:val="none"/>
        </w:rPr>
        <w:t>市州住房和城乡建设部门将项目清单上报省住房和城乡建设厅。</w:t>
      </w:r>
    </w:p>
    <w:p>
      <w:pPr>
        <w:pStyle w:val="18"/>
        <w:spacing w:line="560" w:lineRule="exact"/>
        <w:ind w:firstLine="624" w:firstLineChars="200"/>
        <w:rPr>
          <w:rFonts w:ascii="Times New Roman" w:hAnsi="Times New Roman" w:cs="Times New Roman"/>
          <w:color w:val="auto"/>
          <w:szCs w:val="32"/>
          <w:highlight w:val="none"/>
          <w:u w:val="none"/>
        </w:rPr>
      </w:pPr>
      <w:r>
        <w:rPr>
          <w:rFonts w:ascii="Times New Roman" w:hAnsi="Times New Roman" w:cs="Times New Roman"/>
          <w:b/>
          <w:bCs/>
          <w:color w:val="auto"/>
          <w:szCs w:val="32"/>
          <w:highlight w:val="none"/>
          <w:u w:val="none"/>
        </w:rPr>
        <w:t>第十</w:t>
      </w:r>
      <w:r>
        <w:rPr>
          <w:rFonts w:hint="eastAsia" w:ascii="Times New Roman" w:hAnsi="Times New Roman" w:cs="Times New Roman"/>
          <w:b/>
          <w:bCs/>
          <w:color w:val="auto"/>
          <w:szCs w:val="32"/>
          <w:highlight w:val="none"/>
          <w:u w:val="none"/>
          <w:lang w:val="en-US" w:eastAsia="zh-CN"/>
        </w:rPr>
        <w:t>八</w:t>
      </w:r>
      <w:r>
        <w:rPr>
          <w:rFonts w:ascii="Times New Roman" w:hAnsi="Times New Roman" w:cs="Times New Roman"/>
          <w:b/>
          <w:bCs/>
          <w:color w:val="auto"/>
          <w:szCs w:val="32"/>
          <w:highlight w:val="none"/>
          <w:u w:val="none"/>
        </w:rPr>
        <w:t>条</w:t>
      </w:r>
      <w:r>
        <w:rPr>
          <w:rFonts w:hint="eastAsia" w:ascii="Times New Roman" w:hAnsi="Times New Roman" w:cs="Times New Roman"/>
          <w:b/>
          <w:bCs/>
          <w:color w:val="auto"/>
          <w:szCs w:val="32"/>
          <w:highlight w:val="none"/>
          <w:u w:val="none"/>
        </w:rPr>
        <w:t xml:space="preserve"> </w:t>
      </w:r>
      <w:r>
        <w:rPr>
          <w:rFonts w:hint="eastAsia" w:ascii="Times New Roman" w:hAnsi="Times New Roman" w:cs="Times New Roman"/>
          <w:b/>
          <w:bCs/>
          <w:color w:val="auto"/>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省住房和城乡建设厅统一对</w:t>
      </w:r>
      <w:r>
        <w:rPr>
          <w:rFonts w:hint="default" w:ascii="Times New Roman" w:hAnsi="Times New Roman" w:eastAsia="仿宋_GB2312" w:cs="Times New Roman"/>
          <w:color w:val="auto"/>
          <w:sz w:val="32"/>
          <w:szCs w:val="32"/>
          <w:highlight w:val="none"/>
          <w:u w:val="none"/>
          <w:lang w:eastAsia="zh-CN"/>
        </w:rPr>
        <w:t>一星级、二星级</w:t>
      </w:r>
      <w:r>
        <w:rPr>
          <w:rFonts w:hint="default" w:ascii="Times New Roman" w:hAnsi="Times New Roman" w:eastAsia="仿宋_GB2312" w:cs="Times New Roman"/>
          <w:color w:val="auto"/>
          <w:sz w:val="32"/>
          <w:szCs w:val="32"/>
          <w:highlight w:val="none"/>
          <w:u w:val="none"/>
        </w:rPr>
        <w:t>绿色建筑标识认定项目进行编号</w:t>
      </w:r>
      <w:r>
        <w:rPr>
          <w:rFonts w:hint="default" w:ascii="Times New Roman" w:hAnsi="Times New Roman" w:eastAsia="仿宋_GB2312" w:cs="Times New Roman"/>
          <w:color w:val="auto"/>
          <w:sz w:val="32"/>
          <w:szCs w:val="32"/>
          <w:highlight w:val="none"/>
          <w:u w:val="none"/>
          <w:lang w:eastAsia="zh-CN"/>
        </w:rPr>
        <w:t>。</w:t>
      </w:r>
      <w:r>
        <w:rPr>
          <w:rFonts w:ascii="Times New Roman" w:hAnsi="Times New Roman" w:cs="Times New Roman"/>
          <w:color w:val="auto"/>
          <w:szCs w:val="32"/>
          <w:highlight w:val="none"/>
          <w:u w:val="none"/>
        </w:rPr>
        <w:t>绿色建筑标识证书编号由地区编号、星级、建筑类型、年份和当年认定项目的序号组成，中间用“-”连接。地区编号按照行政区划排序，湖南省的省级编号为18，星级编号分别为1、2、3，即1至3星级，建筑类型代号分别为公共建筑P、住宅建筑R、工业建筑I、混合功能建筑M，在流水号后面注明项目所在地的市州编号（各市州编号见附件1）。例如，长沙市2023年认定的第1个1星级住宅建筑项目，证书编号为NO.18-1-R-2023-001（A）。</w:t>
      </w:r>
    </w:p>
    <w:p>
      <w:pPr>
        <w:spacing w:line="560" w:lineRule="exact"/>
        <w:ind w:firstLine="624" w:firstLineChars="200"/>
        <w:textAlignment w:val="baseline"/>
        <w:rPr>
          <w:color w:val="auto"/>
          <w:szCs w:val="32"/>
          <w:highlight w:val="none"/>
          <w:u w:val="none"/>
        </w:rPr>
      </w:pPr>
      <w:r>
        <w:rPr>
          <w:color w:val="auto"/>
          <w:szCs w:val="32"/>
          <w:highlight w:val="none"/>
          <w:u w:val="none"/>
        </w:rPr>
        <w:t>绿色建筑标识认定项目编号后，由相应层级住房和城乡建设部门发布公告，并授予</w:t>
      </w:r>
      <w:r>
        <w:rPr>
          <w:rFonts w:hint="eastAsia"/>
          <w:color w:val="auto"/>
          <w:szCs w:val="32"/>
          <w:highlight w:val="none"/>
          <w:u w:val="none"/>
        </w:rPr>
        <w:t>电子</w:t>
      </w:r>
      <w:r>
        <w:rPr>
          <w:color w:val="auto"/>
          <w:szCs w:val="32"/>
          <w:highlight w:val="none"/>
          <w:u w:val="none"/>
        </w:rPr>
        <w:t>证书</w:t>
      </w:r>
      <w:r>
        <w:rPr>
          <w:rFonts w:hint="eastAsia"/>
          <w:color w:val="auto"/>
          <w:szCs w:val="32"/>
          <w:highlight w:val="none"/>
          <w:u w:val="none"/>
        </w:rPr>
        <w:t>，电子证书</w:t>
      </w:r>
      <w:r>
        <w:rPr>
          <w:color w:val="auto"/>
          <w:szCs w:val="32"/>
          <w:highlight w:val="none"/>
          <w:u w:val="none"/>
        </w:rPr>
        <w:t>统一在</w:t>
      </w:r>
      <w:r>
        <w:rPr>
          <w:rFonts w:hint="eastAsia"/>
          <w:color w:val="auto"/>
          <w:szCs w:val="32"/>
          <w:highlight w:val="none"/>
          <w:u w:val="none"/>
          <w:lang w:eastAsia="zh-CN"/>
        </w:rPr>
        <w:t>“</w:t>
      </w:r>
      <w:r>
        <w:rPr>
          <w:color w:val="auto"/>
          <w:szCs w:val="32"/>
          <w:highlight w:val="none"/>
          <w:u w:val="none"/>
        </w:rPr>
        <w:t>住建云</w:t>
      </w:r>
      <w:r>
        <w:rPr>
          <w:rFonts w:hint="eastAsia"/>
          <w:color w:val="auto"/>
          <w:szCs w:val="32"/>
          <w:highlight w:val="none"/>
          <w:u w:val="none"/>
          <w:lang w:eastAsia="zh-CN"/>
        </w:rPr>
        <w:t>”</w:t>
      </w:r>
      <w:r>
        <w:rPr>
          <w:color w:val="auto"/>
          <w:szCs w:val="32"/>
          <w:highlight w:val="none"/>
          <w:u w:val="none"/>
        </w:rPr>
        <w:t>生成、下载和查询。标牌上印刷二维码，可扫码查询核验该栋建筑有关信息。</w:t>
      </w:r>
    </w:p>
    <w:p>
      <w:pPr>
        <w:spacing w:line="560" w:lineRule="exact"/>
        <w:ind w:firstLine="624" w:firstLineChars="200"/>
        <w:textAlignment w:val="baseline"/>
        <w:rPr>
          <w:color w:val="auto"/>
          <w:szCs w:val="32"/>
          <w:highlight w:val="none"/>
          <w:u w:val="none"/>
        </w:rPr>
      </w:pPr>
    </w:p>
    <w:p>
      <w:pPr>
        <w:spacing w:line="560" w:lineRule="exact"/>
        <w:jc w:val="center"/>
        <w:textAlignment w:val="baseline"/>
        <w:rPr>
          <w:rFonts w:eastAsia="黑体"/>
          <w:color w:val="auto"/>
          <w:szCs w:val="32"/>
          <w:highlight w:val="none"/>
          <w:u w:val="none"/>
        </w:rPr>
      </w:pPr>
      <w:r>
        <w:rPr>
          <w:rFonts w:eastAsia="黑体"/>
          <w:color w:val="auto"/>
          <w:szCs w:val="32"/>
          <w:highlight w:val="none"/>
          <w:u w:val="none"/>
        </w:rPr>
        <w:t>第</w:t>
      </w:r>
      <w:r>
        <w:rPr>
          <w:rFonts w:hint="eastAsia" w:eastAsia="黑体"/>
          <w:color w:val="auto"/>
          <w:szCs w:val="32"/>
          <w:highlight w:val="none"/>
          <w:u w:val="none"/>
          <w:lang w:val="en-US" w:eastAsia="zh-CN"/>
        </w:rPr>
        <w:t>三</w:t>
      </w:r>
      <w:r>
        <w:rPr>
          <w:rFonts w:eastAsia="黑体"/>
          <w:color w:val="auto"/>
          <w:szCs w:val="32"/>
          <w:highlight w:val="none"/>
          <w:u w:val="none"/>
        </w:rPr>
        <w:t xml:space="preserve">章 </w:t>
      </w:r>
      <w:r>
        <w:rPr>
          <w:rFonts w:hint="eastAsia" w:eastAsia="黑体"/>
          <w:color w:val="auto"/>
          <w:szCs w:val="32"/>
          <w:highlight w:val="none"/>
          <w:u w:val="none"/>
        </w:rPr>
        <w:t>标识</w:t>
      </w:r>
      <w:r>
        <w:rPr>
          <w:rFonts w:eastAsia="黑体"/>
          <w:color w:val="auto"/>
          <w:szCs w:val="32"/>
          <w:highlight w:val="none"/>
          <w:u w:val="none"/>
        </w:rPr>
        <w:t>管理</w:t>
      </w:r>
    </w:p>
    <w:p>
      <w:pPr>
        <w:pStyle w:val="18"/>
        <w:spacing w:line="560" w:lineRule="exact"/>
        <w:ind w:firstLine="624" w:firstLineChars="200"/>
        <w:rPr>
          <w:rFonts w:ascii="Times New Roman" w:hAnsi="Times New Roman" w:cs="Times New Roman"/>
          <w:b/>
          <w:bCs/>
          <w:color w:val="auto"/>
          <w:szCs w:val="32"/>
          <w:highlight w:val="none"/>
          <w:u w:val="none"/>
        </w:rPr>
      </w:pPr>
      <w:r>
        <w:rPr>
          <w:rFonts w:ascii="Times New Roman" w:hAnsi="Times New Roman" w:cs="Times New Roman"/>
          <w:b/>
          <w:bCs/>
          <w:color w:val="auto"/>
          <w:szCs w:val="32"/>
          <w:highlight w:val="none"/>
          <w:u w:val="none"/>
        </w:rPr>
        <w:t>第十</w:t>
      </w:r>
      <w:r>
        <w:rPr>
          <w:rFonts w:hint="eastAsia" w:ascii="Times New Roman" w:hAnsi="Times New Roman" w:cs="Times New Roman"/>
          <w:b/>
          <w:bCs/>
          <w:color w:val="auto"/>
          <w:szCs w:val="32"/>
          <w:highlight w:val="none"/>
          <w:u w:val="none"/>
          <w:lang w:val="en-US" w:eastAsia="zh-CN"/>
        </w:rPr>
        <w:t>九</w:t>
      </w:r>
      <w:r>
        <w:rPr>
          <w:rFonts w:ascii="Times New Roman" w:hAnsi="Times New Roman" w:cs="Times New Roman"/>
          <w:b/>
          <w:bCs/>
          <w:color w:val="auto"/>
          <w:szCs w:val="32"/>
          <w:highlight w:val="none"/>
          <w:u w:val="none"/>
        </w:rPr>
        <w:t>条</w:t>
      </w:r>
      <w:r>
        <w:rPr>
          <w:rFonts w:ascii="Times New Roman" w:hAnsi="Times New Roman" w:cs="Times New Roman"/>
          <w:color w:val="auto"/>
          <w:szCs w:val="32"/>
          <w:highlight w:val="none"/>
          <w:u w:val="none"/>
        </w:rPr>
        <w:t xml:space="preserve"> </w:t>
      </w:r>
      <w:r>
        <w:rPr>
          <w:rFonts w:hint="eastAsia" w:ascii="Times New Roman" w:hAnsi="Times New Roman" w:cs="Times New Roman"/>
          <w:color w:val="auto"/>
          <w:szCs w:val="32"/>
          <w:highlight w:val="none"/>
          <w:u w:val="none"/>
          <w:lang w:val="en-US" w:eastAsia="zh-CN"/>
        </w:rPr>
        <w:t xml:space="preserve"> </w:t>
      </w:r>
      <w:r>
        <w:rPr>
          <w:rFonts w:ascii="Times New Roman" w:hAnsi="Times New Roman" w:cs="Times New Roman"/>
          <w:color w:val="auto"/>
          <w:szCs w:val="32"/>
          <w:highlight w:val="none"/>
          <w:u w:val="none"/>
        </w:rPr>
        <w:t>住房和城乡建设部门应加强绿色建筑标识认定工作权力运行制约监督机制建设，出台本辖区星级绿色建筑标识管理工作相关规定，科学设计工作流程和监管方式，明确管理责任事项和监督措施，切实防控廉政风险。</w:t>
      </w:r>
    </w:p>
    <w:p>
      <w:pPr>
        <w:pStyle w:val="18"/>
        <w:spacing w:line="560" w:lineRule="exact"/>
        <w:ind w:firstLine="624" w:firstLineChars="200"/>
        <w:rPr>
          <w:rFonts w:ascii="Times New Roman" w:hAnsi="Times New Roman" w:cs="Times New Roman"/>
          <w:color w:val="auto"/>
          <w:szCs w:val="32"/>
          <w:highlight w:val="none"/>
          <w:u w:val="none"/>
        </w:rPr>
      </w:pPr>
      <w:r>
        <w:rPr>
          <w:rFonts w:ascii="Times New Roman" w:hAnsi="Times New Roman" w:cs="Times New Roman"/>
          <w:b/>
          <w:bCs/>
          <w:color w:val="auto"/>
          <w:szCs w:val="32"/>
          <w:highlight w:val="none"/>
          <w:u w:val="none"/>
        </w:rPr>
        <w:t>第</w:t>
      </w:r>
      <w:r>
        <w:rPr>
          <w:rFonts w:hint="eastAsia" w:ascii="Times New Roman" w:hAnsi="Times New Roman" w:cs="Times New Roman"/>
          <w:b/>
          <w:bCs/>
          <w:color w:val="auto"/>
          <w:szCs w:val="32"/>
          <w:highlight w:val="none"/>
          <w:u w:val="none"/>
          <w:lang w:val="en-US" w:eastAsia="zh-CN"/>
        </w:rPr>
        <w:t>二十</w:t>
      </w:r>
      <w:r>
        <w:rPr>
          <w:rFonts w:ascii="Times New Roman" w:hAnsi="Times New Roman" w:cs="Times New Roman"/>
          <w:b/>
          <w:bCs/>
          <w:color w:val="auto"/>
          <w:szCs w:val="32"/>
          <w:highlight w:val="none"/>
          <w:u w:val="none"/>
        </w:rPr>
        <w:t xml:space="preserve">条 </w:t>
      </w:r>
      <w:r>
        <w:rPr>
          <w:rFonts w:hint="eastAsia" w:ascii="Times New Roman" w:hAnsi="Times New Roman" w:cs="Times New Roman"/>
          <w:b/>
          <w:bCs/>
          <w:color w:val="auto"/>
          <w:szCs w:val="32"/>
          <w:highlight w:val="none"/>
          <w:u w:val="none"/>
          <w:lang w:val="en-US" w:eastAsia="zh-CN"/>
        </w:rPr>
        <w:t xml:space="preserve"> </w:t>
      </w:r>
      <w:r>
        <w:rPr>
          <w:rFonts w:ascii="Times New Roman" w:hAnsi="Times New Roman" w:cs="Times New Roman"/>
          <w:color w:val="auto"/>
          <w:szCs w:val="32"/>
          <w:highlight w:val="none"/>
          <w:u w:val="none"/>
        </w:rPr>
        <w:t>获得绿色建筑标识的项目运营单位或业主，应强化绿色建筑运行管理，加强运行指标与申报绿色建筑星级指标比对，每年3月31日前将上年度运行主要指标上报</w:t>
      </w:r>
      <w:r>
        <w:rPr>
          <w:rFonts w:hint="eastAsia" w:ascii="仿宋_GB2312" w:hAnsi="仿宋_GB2312" w:cs="仿宋_GB2312"/>
          <w:color w:val="auto"/>
          <w:szCs w:val="32"/>
          <w:highlight w:val="none"/>
          <w:u w:val="none"/>
        </w:rPr>
        <w:t>“住建云”</w:t>
      </w:r>
      <w:r>
        <w:rPr>
          <w:rFonts w:ascii="Times New Roman" w:hAnsi="Times New Roman" w:cs="Times New Roman"/>
          <w:color w:val="auto"/>
          <w:szCs w:val="32"/>
          <w:highlight w:val="none"/>
          <w:u w:val="none"/>
        </w:rPr>
        <w:t>。市州住房和城乡建设部门应加强对获得星级绿色建筑标识的项目跟踪管理。</w:t>
      </w:r>
    </w:p>
    <w:p>
      <w:pPr>
        <w:pStyle w:val="18"/>
        <w:spacing w:line="560" w:lineRule="exact"/>
        <w:ind w:firstLine="624" w:firstLineChars="200"/>
        <w:rPr>
          <w:rFonts w:ascii="Times New Roman" w:hAnsi="Times New Roman" w:cs="Times New Roman"/>
          <w:color w:val="auto"/>
          <w:szCs w:val="32"/>
          <w:highlight w:val="none"/>
          <w:u w:val="none"/>
        </w:rPr>
      </w:pPr>
      <w:r>
        <w:rPr>
          <w:rFonts w:ascii="Times New Roman" w:hAnsi="Times New Roman" w:cs="Times New Roman"/>
          <w:b/>
          <w:bCs/>
          <w:color w:val="auto"/>
          <w:szCs w:val="32"/>
          <w:highlight w:val="none"/>
          <w:u w:val="none"/>
        </w:rPr>
        <w:t>第</w:t>
      </w:r>
      <w:r>
        <w:rPr>
          <w:rFonts w:hint="eastAsia" w:ascii="Times New Roman" w:hAnsi="Times New Roman" w:cs="Times New Roman"/>
          <w:b/>
          <w:bCs/>
          <w:color w:val="auto"/>
          <w:szCs w:val="32"/>
          <w:highlight w:val="none"/>
          <w:u w:val="none"/>
          <w:lang w:val="en-US" w:eastAsia="zh-CN"/>
        </w:rPr>
        <w:t>二十一</w:t>
      </w:r>
      <w:r>
        <w:rPr>
          <w:rFonts w:ascii="Times New Roman" w:hAnsi="Times New Roman" w:cs="Times New Roman"/>
          <w:b/>
          <w:bCs/>
          <w:color w:val="auto"/>
          <w:szCs w:val="32"/>
          <w:highlight w:val="none"/>
          <w:u w:val="none"/>
        </w:rPr>
        <w:t>条</w:t>
      </w:r>
      <w:r>
        <w:rPr>
          <w:rFonts w:ascii="Times New Roman" w:hAnsi="Times New Roman" w:eastAsia="仿宋" w:cs="Times New Roman"/>
          <w:b/>
          <w:bCs/>
          <w:color w:val="auto"/>
          <w:kern w:val="0"/>
          <w:sz w:val="31"/>
          <w:szCs w:val="31"/>
          <w:highlight w:val="none"/>
          <w:u w:val="none"/>
        </w:rPr>
        <w:t xml:space="preserve"> </w:t>
      </w:r>
      <w:r>
        <w:rPr>
          <w:rFonts w:hint="eastAsia" w:ascii="Times New Roman" w:hAnsi="Times New Roman" w:eastAsia="仿宋" w:cs="Times New Roman"/>
          <w:b/>
          <w:bCs/>
          <w:color w:val="auto"/>
          <w:kern w:val="0"/>
          <w:sz w:val="31"/>
          <w:szCs w:val="31"/>
          <w:highlight w:val="none"/>
          <w:u w:val="none"/>
          <w:lang w:val="en-US" w:eastAsia="zh-CN"/>
        </w:rPr>
        <w:t xml:space="preserve"> </w:t>
      </w:r>
      <w:r>
        <w:rPr>
          <w:rFonts w:ascii="Times New Roman" w:hAnsi="Times New Roman" w:cs="Times New Roman"/>
          <w:color w:val="auto"/>
          <w:szCs w:val="32"/>
          <w:highlight w:val="none"/>
          <w:u w:val="none"/>
        </w:rPr>
        <w:t xml:space="preserve">住房和城乡建设部门发现获得绿色建筑标识项目存在以下任一问题，应提出限期整改要求，整改期限不超过 2 年： </w:t>
      </w:r>
    </w:p>
    <w:p>
      <w:pPr>
        <w:pStyle w:val="18"/>
        <w:spacing w:line="560" w:lineRule="exact"/>
        <w:ind w:firstLine="624" w:firstLineChars="200"/>
        <w:rPr>
          <w:rFonts w:ascii="Times New Roman" w:hAnsi="Times New Roman" w:cs="Times New Roman"/>
          <w:color w:val="auto"/>
          <w:szCs w:val="32"/>
          <w:highlight w:val="none"/>
          <w:u w:val="none"/>
        </w:rPr>
      </w:pPr>
      <w:r>
        <w:rPr>
          <w:rFonts w:ascii="Times New Roman" w:hAnsi="Times New Roman" w:cs="Times New Roman"/>
          <w:color w:val="auto"/>
          <w:szCs w:val="32"/>
          <w:highlight w:val="none"/>
          <w:u w:val="none"/>
        </w:rPr>
        <w:t xml:space="preserve">（一）项目低于已认定绿色建筑星级; </w:t>
      </w:r>
    </w:p>
    <w:p>
      <w:pPr>
        <w:pStyle w:val="18"/>
        <w:spacing w:line="560" w:lineRule="exact"/>
        <w:ind w:firstLine="624" w:firstLineChars="200"/>
        <w:rPr>
          <w:rFonts w:ascii="Times New Roman" w:hAnsi="Times New Roman" w:cs="Times New Roman"/>
          <w:color w:val="auto"/>
          <w:szCs w:val="32"/>
          <w:highlight w:val="none"/>
          <w:u w:val="none"/>
        </w:rPr>
      </w:pPr>
      <w:r>
        <w:rPr>
          <w:rFonts w:ascii="Times New Roman" w:hAnsi="Times New Roman" w:cs="Times New Roman"/>
          <w:color w:val="auto"/>
          <w:szCs w:val="32"/>
          <w:highlight w:val="none"/>
          <w:u w:val="none"/>
        </w:rPr>
        <w:t xml:space="preserve">（二）项目主要性能低于绿色建筑标识证书的指标; </w:t>
      </w:r>
    </w:p>
    <w:p>
      <w:pPr>
        <w:pStyle w:val="18"/>
        <w:spacing w:line="560" w:lineRule="exact"/>
        <w:ind w:firstLine="624" w:firstLineChars="200"/>
        <w:rPr>
          <w:rFonts w:ascii="Times New Roman" w:hAnsi="Times New Roman" w:cs="Times New Roman"/>
          <w:color w:val="auto"/>
          <w:szCs w:val="32"/>
          <w:highlight w:val="none"/>
          <w:u w:val="none"/>
        </w:rPr>
      </w:pPr>
      <w:r>
        <w:rPr>
          <w:rFonts w:ascii="Times New Roman" w:hAnsi="Times New Roman" w:cs="Times New Roman"/>
          <w:color w:val="auto"/>
          <w:szCs w:val="32"/>
          <w:highlight w:val="none"/>
          <w:u w:val="none"/>
        </w:rPr>
        <w:t xml:space="preserve">（三）利用绿色建筑标识进行虚假宣传; </w:t>
      </w:r>
    </w:p>
    <w:p>
      <w:pPr>
        <w:pStyle w:val="18"/>
        <w:spacing w:line="560" w:lineRule="exact"/>
        <w:ind w:firstLine="624" w:firstLineChars="200"/>
        <w:rPr>
          <w:rFonts w:ascii="Times New Roman" w:hAnsi="Times New Roman" w:cs="Times New Roman"/>
          <w:color w:val="auto"/>
          <w:szCs w:val="32"/>
          <w:highlight w:val="none"/>
          <w:u w:val="none"/>
        </w:rPr>
      </w:pPr>
      <w:r>
        <w:rPr>
          <w:rFonts w:ascii="Times New Roman" w:hAnsi="Times New Roman" w:cs="Times New Roman"/>
          <w:color w:val="auto"/>
          <w:szCs w:val="32"/>
          <w:highlight w:val="none"/>
          <w:u w:val="none"/>
        </w:rPr>
        <w:t>（四）连续两年以上不如实上报主要指标数据。</w:t>
      </w:r>
      <w:r>
        <w:rPr>
          <w:rFonts w:ascii="Times New Roman" w:hAnsi="Times New Roman" w:eastAsia="仿宋" w:cs="Times New Roman"/>
          <w:color w:val="auto"/>
          <w:kern w:val="0"/>
          <w:sz w:val="31"/>
          <w:szCs w:val="31"/>
          <w:highlight w:val="none"/>
          <w:u w:val="none"/>
        </w:rPr>
        <w:t xml:space="preserve"> </w:t>
      </w:r>
    </w:p>
    <w:p>
      <w:pPr>
        <w:pStyle w:val="18"/>
        <w:spacing w:line="560" w:lineRule="exact"/>
        <w:ind w:firstLine="624" w:firstLineChars="200"/>
        <w:rPr>
          <w:rFonts w:ascii="Times New Roman" w:hAnsi="Times New Roman" w:cs="Times New Roman"/>
          <w:color w:val="auto"/>
          <w:szCs w:val="32"/>
          <w:highlight w:val="none"/>
          <w:u w:val="none"/>
        </w:rPr>
      </w:pPr>
      <w:r>
        <w:rPr>
          <w:rFonts w:ascii="Times New Roman" w:hAnsi="Times New Roman" w:cs="Times New Roman"/>
          <w:b/>
          <w:bCs/>
          <w:color w:val="auto"/>
          <w:szCs w:val="32"/>
          <w:highlight w:val="none"/>
          <w:u w:val="none"/>
        </w:rPr>
        <w:t>第</w:t>
      </w:r>
      <w:r>
        <w:rPr>
          <w:rFonts w:hint="eastAsia" w:ascii="Times New Roman" w:hAnsi="Times New Roman" w:cs="Times New Roman"/>
          <w:b/>
          <w:bCs/>
          <w:color w:val="auto"/>
          <w:szCs w:val="32"/>
          <w:highlight w:val="none"/>
          <w:u w:val="none"/>
        </w:rPr>
        <w:t>二十</w:t>
      </w:r>
      <w:r>
        <w:rPr>
          <w:rFonts w:hint="eastAsia" w:ascii="Times New Roman" w:hAnsi="Times New Roman" w:cs="Times New Roman"/>
          <w:b/>
          <w:bCs/>
          <w:color w:val="auto"/>
          <w:szCs w:val="32"/>
          <w:highlight w:val="none"/>
          <w:u w:val="none"/>
          <w:lang w:val="en-US" w:eastAsia="zh-CN"/>
        </w:rPr>
        <w:t>二</w:t>
      </w:r>
      <w:r>
        <w:rPr>
          <w:rFonts w:ascii="Times New Roman" w:hAnsi="Times New Roman" w:cs="Times New Roman"/>
          <w:b/>
          <w:bCs/>
          <w:color w:val="auto"/>
          <w:szCs w:val="32"/>
          <w:highlight w:val="none"/>
          <w:u w:val="none"/>
        </w:rPr>
        <w:t xml:space="preserve">条 </w:t>
      </w:r>
      <w:r>
        <w:rPr>
          <w:rFonts w:hint="eastAsia" w:ascii="Times New Roman" w:hAnsi="Times New Roman" w:cs="Times New Roman"/>
          <w:b/>
          <w:bCs/>
          <w:color w:val="auto"/>
          <w:szCs w:val="32"/>
          <w:highlight w:val="none"/>
          <w:u w:val="none"/>
          <w:lang w:val="en-US" w:eastAsia="zh-CN"/>
        </w:rPr>
        <w:t xml:space="preserve"> </w:t>
      </w:r>
      <w:r>
        <w:rPr>
          <w:rFonts w:ascii="Times New Roman" w:hAnsi="Times New Roman" w:cs="Times New Roman"/>
          <w:color w:val="auto"/>
          <w:szCs w:val="32"/>
          <w:highlight w:val="none"/>
          <w:u w:val="none"/>
        </w:rPr>
        <w:t>住房和城乡建设部门发现获得一、二星级绿色建筑标识的项目存在以下任一问题，应由授予标识的住房和城乡建设部门撤销绿色建筑标识，并收回标牌和证书：</w:t>
      </w:r>
    </w:p>
    <w:p>
      <w:pPr>
        <w:pStyle w:val="18"/>
        <w:spacing w:line="560" w:lineRule="exact"/>
        <w:ind w:firstLine="624" w:firstLineChars="200"/>
        <w:rPr>
          <w:rFonts w:ascii="Times New Roman" w:hAnsi="Times New Roman" w:cs="Times New Roman"/>
          <w:color w:val="auto"/>
          <w:szCs w:val="32"/>
          <w:highlight w:val="none"/>
          <w:u w:val="none"/>
        </w:rPr>
      </w:pPr>
      <w:r>
        <w:rPr>
          <w:rFonts w:ascii="Times New Roman" w:hAnsi="Times New Roman" w:cs="Times New Roman"/>
          <w:color w:val="auto"/>
          <w:szCs w:val="32"/>
          <w:highlight w:val="none"/>
          <w:u w:val="none"/>
        </w:rPr>
        <w:t xml:space="preserve">（一）整改期限内未完成整改; </w:t>
      </w:r>
    </w:p>
    <w:p>
      <w:pPr>
        <w:pStyle w:val="18"/>
        <w:spacing w:line="560" w:lineRule="exact"/>
        <w:ind w:firstLine="624" w:firstLineChars="200"/>
        <w:rPr>
          <w:rFonts w:ascii="Times New Roman" w:hAnsi="Times New Roman" w:cs="Times New Roman"/>
          <w:color w:val="auto"/>
          <w:szCs w:val="32"/>
          <w:highlight w:val="none"/>
          <w:u w:val="none"/>
        </w:rPr>
      </w:pPr>
      <w:r>
        <w:rPr>
          <w:rFonts w:ascii="Times New Roman" w:hAnsi="Times New Roman" w:cs="Times New Roman"/>
          <w:color w:val="auto"/>
          <w:szCs w:val="32"/>
          <w:highlight w:val="none"/>
          <w:u w:val="none"/>
        </w:rPr>
        <w:t>（二）伪造技术资料和数据</w:t>
      </w:r>
      <w:r>
        <w:rPr>
          <w:rFonts w:hint="eastAsia" w:ascii="Times New Roman" w:hAnsi="Times New Roman" w:cs="Times New Roman"/>
          <w:color w:val="auto"/>
          <w:szCs w:val="32"/>
          <w:highlight w:val="none"/>
          <w:u w:val="none"/>
        </w:rPr>
        <w:t>的</w:t>
      </w:r>
      <w:r>
        <w:rPr>
          <w:rFonts w:ascii="Times New Roman" w:hAnsi="Times New Roman" w:cs="Times New Roman"/>
          <w:color w:val="auto"/>
          <w:szCs w:val="32"/>
          <w:highlight w:val="none"/>
          <w:u w:val="none"/>
        </w:rPr>
        <w:t xml:space="preserve">; </w:t>
      </w:r>
    </w:p>
    <w:p>
      <w:pPr>
        <w:pStyle w:val="18"/>
        <w:spacing w:line="560" w:lineRule="exact"/>
        <w:ind w:firstLine="624" w:firstLineChars="200"/>
        <w:rPr>
          <w:rFonts w:ascii="Times New Roman" w:hAnsi="Times New Roman" w:cs="Times New Roman"/>
          <w:color w:val="auto"/>
          <w:szCs w:val="32"/>
          <w:highlight w:val="none"/>
          <w:u w:val="none"/>
        </w:rPr>
      </w:pPr>
      <w:r>
        <w:rPr>
          <w:rFonts w:ascii="Times New Roman" w:hAnsi="Times New Roman" w:cs="Times New Roman"/>
          <w:color w:val="auto"/>
          <w:szCs w:val="32"/>
          <w:highlight w:val="none"/>
          <w:u w:val="none"/>
        </w:rPr>
        <w:t>（三）发生</w:t>
      </w:r>
      <w:r>
        <w:rPr>
          <w:rFonts w:hint="eastAsia" w:ascii="Times New Roman" w:hAnsi="Times New Roman" w:cs="Times New Roman"/>
          <w:color w:val="auto"/>
          <w:szCs w:val="32"/>
          <w:highlight w:val="none"/>
          <w:u w:val="none"/>
        </w:rPr>
        <w:t>重大</w:t>
      </w:r>
      <w:r>
        <w:rPr>
          <w:rFonts w:ascii="Times New Roman" w:hAnsi="Times New Roman" w:cs="Times New Roman"/>
          <w:color w:val="auto"/>
          <w:szCs w:val="32"/>
          <w:highlight w:val="none"/>
          <w:u w:val="none"/>
        </w:rPr>
        <w:t xml:space="preserve">安全事故。 </w:t>
      </w:r>
    </w:p>
    <w:p>
      <w:pPr>
        <w:pStyle w:val="18"/>
        <w:keepNext w:val="0"/>
        <w:keepLines w:val="0"/>
        <w:pageBreakBefore w:val="0"/>
        <w:kinsoku/>
        <w:wordWrap/>
        <w:overflowPunct/>
        <w:topLinePunct w:val="0"/>
        <w:autoSpaceDE/>
        <w:autoSpaceDN/>
        <w:bidi w:val="0"/>
        <w:adjustRightInd/>
        <w:snapToGrid/>
        <w:spacing w:line="240" w:lineRule="auto"/>
        <w:ind w:firstLine="624" w:firstLineChars="200"/>
        <w:rPr>
          <w:rFonts w:hint="eastAsia" w:ascii="Times New Roman" w:hAnsi="Times New Roman" w:cs="Times New Roman"/>
          <w:color w:val="auto"/>
          <w:sz w:val="32"/>
          <w:szCs w:val="32"/>
          <w:highlight w:val="none"/>
          <w:u w:val="none"/>
          <w:lang w:val="en-US" w:eastAsia="zh-CN"/>
        </w:rPr>
      </w:pPr>
      <w:r>
        <w:rPr>
          <w:b/>
          <w:bCs/>
          <w:color w:val="auto"/>
          <w:szCs w:val="32"/>
          <w:highlight w:val="none"/>
          <w:u w:val="none"/>
        </w:rPr>
        <w:t>第</w:t>
      </w:r>
      <w:r>
        <w:rPr>
          <w:rFonts w:hint="eastAsia"/>
          <w:b/>
          <w:bCs/>
          <w:color w:val="auto"/>
          <w:szCs w:val="32"/>
          <w:highlight w:val="none"/>
          <w:u w:val="none"/>
        </w:rPr>
        <w:t>二十</w:t>
      </w:r>
      <w:r>
        <w:rPr>
          <w:rFonts w:hint="eastAsia"/>
          <w:b/>
          <w:bCs/>
          <w:color w:val="auto"/>
          <w:szCs w:val="32"/>
          <w:highlight w:val="none"/>
          <w:u w:val="none"/>
          <w:lang w:val="en-US" w:eastAsia="zh-CN"/>
        </w:rPr>
        <w:t>三</w:t>
      </w:r>
      <w:r>
        <w:rPr>
          <w:b/>
          <w:bCs/>
          <w:color w:val="auto"/>
          <w:szCs w:val="32"/>
          <w:highlight w:val="none"/>
          <w:u w:val="none"/>
        </w:rPr>
        <w:t>条</w:t>
      </w:r>
      <w:r>
        <w:rPr>
          <w:rFonts w:hint="eastAsia"/>
          <w:b/>
          <w:bCs/>
          <w:color w:val="auto"/>
          <w:szCs w:val="32"/>
          <w:highlight w:val="none"/>
          <w:u w:val="none"/>
        </w:rPr>
        <w:t xml:space="preserve">  </w:t>
      </w:r>
      <w:r>
        <w:rPr>
          <w:rFonts w:hint="default" w:ascii="Times New Roman" w:hAnsi="Times New Roman" w:eastAsia="仿宋_GB2312" w:cs="Times New Roman"/>
          <w:color w:val="auto"/>
          <w:sz w:val="32"/>
          <w:szCs w:val="32"/>
          <w:highlight w:val="none"/>
          <w:u w:val="none"/>
          <w:lang w:val="en-US" w:eastAsia="zh-CN"/>
        </w:rPr>
        <w:t>省</w:t>
      </w:r>
      <w:r>
        <w:rPr>
          <w:rFonts w:hint="default" w:ascii="Times New Roman" w:hAnsi="Times New Roman" w:eastAsia="仿宋_GB2312" w:cs="Times New Roman"/>
          <w:color w:val="auto"/>
          <w:spacing w:val="-6"/>
          <w:sz w:val="32"/>
          <w:szCs w:val="32"/>
          <w:highlight w:val="none"/>
          <w:u w:val="none"/>
          <w:lang w:val="en-US" w:eastAsia="zh-CN"/>
        </w:rPr>
        <w:t>住房和城乡建设厅对市州一星级绿色建筑标识管理工作进行监督检查，发现不符合绿色建筑相关标准要求的项目，责令</w:t>
      </w:r>
      <w:r>
        <w:rPr>
          <w:rFonts w:hint="default" w:ascii="Times New Roman" w:hAnsi="Times New Roman" w:eastAsia="仿宋_GB2312" w:cs="Times New Roman"/>
          <w:color w:val="auto"/>
          <w:spacing w:val="-6"/>
          <w:kern w:val="2"/>
          <w:sz w:val="32"/>
          <w:szCs w:val="32"/>
          <w:highlight w:val="none"/>
          <w:u w:val="none"/>
          <w:lang w:val="en-US" w:eastAsia="zh-CN" w:bidi="ar-SA"/>
        </w:rPr>
        <w:t>限期</w:t>
      </w:r>
      <w:r>
        <w:rPr>
          <w:rFonts w:hint="default" w:ascii="Times New Roman" w:hAnsi="Times New Roman" w:eastAsia="仿宋_GB2312" w:cs="Times New Roman"/>
          <w:color w:val="auto"/>
          <w:spacing w:val="-6"/>
          <w:sz w:val="32"/>
          <w:szCs w:val="32"/>
          <w:highlight w:val="none"/>
          <w:u w:val="none"/>
          <w:lang w:val="en-US" w:eastAsia="zh-CN"/>
        </w:rPr>
        <w:t>整改，到期整改不到位的，撤销项目绿色建筑标识</w:t>
      </w:r>
      <w:r>
        <w:rPr>
          <w:rFonts w:hint="eastAsia" w:ascii="Times New Roman" w:hAnsi="Times New Roman" w:cs="Times New Roman"/>
          <w:color w:val="auto"/>
          <w:sz w:val="32"/>
          <w:szCs w:val="32"/>
          <w:highlight w:val="none"/>
          <w:u w:val="none"/>
          <w:lang w:val="en-US" w:eastAsia="zh-CN"/>
        </w:rPr>
        <w:t>。</w:t>
      </w:r>
    </w:p>
    <w:p>
      <w:pPr>
        <w:pStyle w:val="18"/>
        <w:keepNext w:val="0"/>
        <w:keepLines w:val="0"/>
        <w:pageBreakBefore w:val="0"/>
        <w:kinsoku/>
        <w:wordWrap/>
        <w:overflowPunct/>
        <w:topLinePunct w:val="0"/>
        <w:autoSpaceDE/>
        <w:autoSpaceDN/>
        <w:bidi w:val="0"/>
        <w:adjustRightInd/>
        <w:snapToGrid/>
        <w:spacing w:line="240" w:lineRule="auto"/>
        <w:ind w:firstLine="624"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对在绿色建筑标识认定工作中存在玩忽职守、滥用职权、徇私舞弊的市州住房和城乡建设部门，予以通报批评，对直接责任人员提请有权机关依法予以处分。</w:t>
      </w:r>
    </w:p>
    <w:p>
      <w:pPr>
        <w:pStyle w:val="18"/>
        <w:keepNext w:val="0"/>
        <w:keepLines w:val="0"/>
        <w:pageBreakBefore w:val="0"/>
        <w:kinsoku/>
        <w:wordWrap/>
        <w:overflowPunct/>
        <w:topLinePunct w:val="0"/>
        <w:autoSpaceDE/>
        <w:autoSpaceDN/>
        <w:bidi w:val="0"/>
        <w:adjustRightInd/>
        <w:snapToGrid/>
        <w:spacing w:line="240" w:lineRule="auto"/>
        <w:ind w:firstLine="624" w:firstLineChars="200"/>
        <w:rPr>
          <w:color w:val="auto"/>
          <w:highlight w:val="none"/>
          <w:u w:val="none"/>
        </w:rPr>
      </w:pPr>
      <w:r>
        <w:rPr>
          <w:b/>
          <w:bCs/>
          <w:color w:val="auto"/>
          <w:szCs w:val="32"/>
          <w:highlight w:val="none"/>
          <w:u w:val="none"/>
        </w:rPr>
        <w:t>第</w:t>
      </w:r>
      <w:r>
        <w:rPr>
          <w:rFonts w:hint="eastAsia"/>
          <w:b/>
          <w:bCs/>
          <w:color w:val="auto"/>
          <w:szCs w:val="32"/>
          <w:highlight w:val="none"/>
          <w:u w:val="none"/>
        </w:rPr>
        <w:t>二十</w:t>
      </w:r>
      <w:r>
        <w:rPr>
          <w:rFonts w:hint="eastAsia"/>
          <w:b/>
          <w:bCs/>
          <w:color w:val="auto"/>
          <w:szCs w:val="32"/>
          <w:highlight w:val="none"/>
          <w:u w:val="none"/>
          <w:lang w:val="en-US" w:eastAsia="zh-CN"/>
        </w:rPr>
        <w:t>四</w:t>
      </w:r>
      <w:r>
        <w:rPr>
          <w:b/>
          <w:bCs/>
          <w:color w:val="auto"/>
          <w:szCs w:val="32"/>
          <w:highlight w:val="none"/>
          <w:u w:val="none"/>
        </w:rPr>
        <w:t>条</w:t>
      </w:r>
      <w:r>
        <w:rPr>
          <w:rFonts w:eastAsia="仿宋"/>
          <w:b/>
          <w:bCs/>
          <w:color w:val="auto"/>
          <w:kern w:val="0"/>
          <w:sz w:val="31"/>
          <w:szCs w:val="31"/>
          <w:highlight w:val="none"/>
          <w:u w:val="none"/>
        </w:rPr>
        <w:t xml:space="preserve"> </w:t>
      </w:r>
      <w:r>
        <w:rPr>
          <w:rFonts w:hint="eastAsia" w:eastAsia="仿宋"/>
          <w:b/>
          <w:bCs/>
          <w:color w:val="auto"/>
          <w:kern w:val="0"/>
          <w:sz w:val="31"/>
          <w:szCs w:val="31"/>
          <w:highlight w:val="none"/>
          <w:u w:val="none"/>
          <w:lang w:val="en-US" w:eastAsia="zh-CN"/>
        </w:rPr>
        <w:t xml:space="preserve"> </w:t>
      </w:r>
      <w:r>
        <w:rPr>
          <w:color w:val="auto"/>
          <w:kern w:val="0"/>
          <w:szCs w:val="32"/>
          <w:highlight w:val="none"/>
          <w:u w:val="none"/>
        </w:rPr>
        <w:t>参</w:t>
      </w:r>
      <w:r>
        <w:rPr>
          <w:color w:val="auto"/>
          <w:szCs w:val="32"/>
          <w:highlight w:val="none"/>
          <w:u w:val="none"/>
        </w:rPr>
        <w:t>与绿色建筑标识认定的专家应坚持公平公正，回避与自己有连带关系的申报项目。对违反评审规定和评审标准的，计入个人信用记录，</w:t>
      </w:r>
      <w:r>
        <w:rPr>
          <w:rFonts w:hint="eastAsia"/>
          <w:color w:val="auto"/>
          <w:szCs w:val="32"/>
          <w:highlight w:val="none"/>
          <w:u w:val="none"/>
        </w:rPr>
        <w:t>依法依规严肃处理，</w:t>
      </w:r>
      <w:r>
        <w:rPr>
          <w:color w:val="auto"/>
          <w:szCs w:val="32"/>
          <w:highlight w:val="none"/>
          <w:u w:val="none"/>
        </w:rPr>
        <w:t>并从专家库中清除。</w:t>
      </w:r>
    </w:p>
    <w:p>
      <w:pPr>
        <w:spacing w:line="560" w:lineRule="exact"/>
        <w:jc w:val="center"/>
        <w:textAlignment w:val="baseline"/>
        <w:rPr>
          <w:rFonts w:eastAsia="黑体"/>
          <w:color w:val="auto"/>
          <w:szCs w:val="32"/>
          <w:highlight w:val="none"/>
          <w:u w:val="none"/>
        </w:rPr>
      </w:pPr>
      <w:r>
        <w:rPr>
          <w:rFonts w:eastAsia="黑体"/>
          <w:color w:val="auto"/>
          <w:szCs w:val="32"/>
          <w:highlight w:val="none"/>
          <w:u w:val="none"/>
        </w:rPr>
        <w:t>第</w:t>
      </w:r>
      <w:r>
        <w:rPr>
          <w:rFonts w:hint="eastAsia" w:eastAsia="黑体"/>
          <w:color w:val="auto"/>
          <w:szCs w:val="32"/>
          <w:highlight w:val="none"/>
          <w:u w:val="none"/>
        </w:rPr>
        <w:t>五</w:t>
      </w:r>
      <w:r>
        <w:rPr>
          <w:rFonts w:eastAsia="黑体"/>
          <w:color w:val="auto"/>
          <w:szCs w:val="32"/>
          <w:highlight w:val="none"/>
          <w:u w:val="none"/>
        </w:rPr>
        <w:t>章 附则</w:t>
      </w:r>
    </w:p>
    <w:p>
      <w:pPr>
        <w:spacing w:line="560" w:lineRule="exact"/>
        <w:ind w:firstLine="640"/>
        <w:textAlignment w:val="baseline"/>
        <w:rPr>
          <w:color w:val="auto"/>
          <w:szCs w:val="32"/>
          <w:highlight w:val="none"/>
          <w:u w:val="none"/>
        </w:rPr>
      </w:pPr>
      <w:r>
        <w:rPr>
          <w:b/>
          <w:bCs/>
          <w:color w:val="auto"/>
          <w:szCs w:val="32"/>
          <w:highlight w:val="none"/>
          <w:u w:val="none"/>
        </w:rPr>
        <w:t>第二十</w:t>
      </w:r>
      <w:r>
        <w:rPr>
          <w:rFonts w:hint="eastAsia"/>
          <w:b/>
          <w:bCs/>
          <w:color w:val="auto"/>
          <w:szCs w:val="32"/>
          <w:highlight w:val="none"/>
          <w:u w:val="none"/>
          <w:lang w:val="en-US" w:eastAsia="zh-CN"/>
        </w:rPr>
        <w:t>五</w:t>
      </w:r>
      <w:r>
        <w:rPr>
          <w:b/>
          <w:bCs/>
          <w:color w:val="auto"/>
          <w:szCs w:val="32"/>
          <w:highlight w:val="none"/>
          <w:u w:val="none"/>
        </w:rPr>
        <w:t xml:space="preserve">条 </w:t>
      </w:r>
      <w:r>
        <w:rPr>
          <w:rFonts w:hint="eastAsia"/>
          <w:b/>
          <w:bCs/>
          <w:color w:val="auto"/>
          <w:szCs w:val="32"/>
          <w:highlight w:val="none"/>
          <w:u w:val="none"/>
          <w:lang w:val="en-US" w:eastAsia="zh-CN"/>
        </w:rPr>
        <w:t xml:space="preserve"> </w:t>
      </w:r>
      <w:r>
        <w:rPr>
          <w:color w:val="auto"/>
          <w:szCs w:val="32"/>
          <w:highlight w:val="none"/>
          <w:u w:val="none"/>
        </w:rPr>
        <w:t>本办法由湖南省住房和城乡建设厅负责解释。</w:t>
      </w:r>
    </w:p>
    <w:p>
      <w:pPr>
        <w:spacing w:line="560" w:lineRule="exact"/>
        <w:ind w:firstLine="640"/>
        <w:textAlignment w:val="baseline"/>
        <w:rPr>
          <w:color w:val="auto"/>
          <w:szCs w:val="32"/>
          <w:highlight w:val="none"/>
          <w:u w:val="none"/>
        </w:rPr>
      </w:pPr>
      <w:r>
        <w:rPr>
          <w:b/>
          <w:bCs/>
          <w:color w:val="auto"/>
          <w:szCs w:val="32"/>
          <w:highlight w:val="none"/>
          <w:u w:val="none"/>
        </w:rPr>
        <w:t>第二十</w:t>
      </w:r>
      <w:r>
        <w:rPr>
          <w:rFonts w:hint="eastAsia"/>
          <w:b/>
          <w:bCs/>
          <w:color w:val="auto"/>
          <w:szCs w:val="32"/>
          <w:highlight w:val="none"/>
          <w:u w:val="none"/>
          <w:lang w:val="en-US" w:eastAsia="zh-CN"/>
        </w:rPr>
        <w:t>六</w:t>
      </w:r>
      <w:r>
        <w:rPr>
          <w:b/>
          <w:bCs/>
          <w:color w:val="auto"/>
          <w:szCs w:val="32"/>
          <w:highlight w:val="none"/>
          <w:u w:val="none"/>
        </w:rPr>
        <w:t xml:space="preserve">条 </w:t>
      </w:r>
      <w:r>
        <w:rPr>
          <w:rFonts w:hint="eastAsia"/>
          <w:b/>
          <w:bCs/>
          <w:color w:val="auto"/>
          <w:szCs w:val="32"/>
          <w:highlight w:val="none"/>
          <w:u w:val="none"/>
          <w:lang w:val="en-US" w:eastAsia="zh-CN"/>
        </w:rPr>
        <w:t xml:space="preserve"> </w:t>
      </w:r>
      <w:r>
        <w:rPr>
          <w:color w:val="auto"/>
          <w:szCs w:val="32"/>
          <w:highlight w:val="none"/>
          <w:u w:val="none"/>
        </w:rPr>
        <w:t>本办法自2024年  月  日起施行，有效期至2029年  月  日。</w:t>
      </w:r>
    </w:p>
    <w:p>
      <w:pPr>
        <w:pStyle w:val="2"/>
        <w:snapToGrid/>
        <w:spacing w:line="560" w:lineRule="exact"/>
        <w:rPr>
          <w:rFonts w:ascii="Times New Roman" w:hAnsi="Times New Roman"/>
          <w:color w:val="auto"/>
          <w:szCs w:val="32"/>
          <w:highlight w:val="none"/>
          <w:u w:val="none"/>
        </w:rPr>
      </w:pPr>
    </w:p>
    <w:p>
      <w:pPr>
        <w:spacing w:line="560" w:lineRule="exact"/>
        <w:ind w:firstLine="624" w:firstLineChars="200"/>
        <w:rPr>
          <w:color w:val="auto"/>
          <w:szCs w:val="32"/>
          <w:highlight w:val="none"/>
          <w:u w:val="none"/>
        </w:rPr>
      </w:pPr>
      <w:r>
        <w:rPr>
          <w:color w:val="auto"/>
          <w:szCs w:val="32"/>
          <w:highlight w:val="none"/>
          <w:u w:val="none"/>
        </w:rPr>
        <w:t>附件：湖南省绿色建筑标识</w:t>
      </w:r>
      <w:r>
        <w:rPr>
          <w:color w:val="auto"/>
          <w:szCs w:val="32"/>
          <w:highlight w:val="none"/>
          <w:u w:val="none"/>
          <w:lang w:val="zh-CN"/>
        </w:rPr>
        <w:t>市州</w:t>
      </w:r>
      <w:r>
        <w:rPr>
          <w:color w:val="auto"/>
          <w:szCs w:val="32"/>
          <w:highlight w:val="none"/>
          <w:u w:val="none"/>
        </w:rPr>
        <w:t>编号</w:t>
      </w:r>
    </w:p>
    <w:p>
      <w:pPr>
        <w:pStyle w:val="2"/>
        <w:snapToGrid/>
        <w:spacing w:line="560" w:lineRule="exact"/>
        <w:rPr>
          <w:rFonts w:ascii="Times New Roman" w:hAnsi="Times New Roman" w:eastAsia="黑体"/>
          <w:color w:val="auto"/>
          <w:highlight w:val="none"/>
          <w:u w:val="none"/>
        </w:rPr>
      </w:pPr>
      <w:bookmarkStart w:id="0" w:name="_GoBack"/>
      <w:bookmarkEnd w:id="0"/>
      <w:r>
        <w:rPr>
          <w:rFonts w:ascii="Times New Roman" w:hAnsi="Times New Roman" w:eastAsia="黑体"/>
          <w:color w:val="auto"/>
          <w:highlight w:val="none"/>
          <w:u w:val="none"/>
        </w:rPr>
        <w:t>附件</w:t>
      </w:r>
    </w:p>
    <w:p>
      <w:pPr>
        <w:spacing w:line="560" w:lineRule="exact"/>
        <w:jc w:val="center"/>
        <w:rPr>
          <w:rFonts w:ascii="方正小标宋简体" w:hAnsi="方正小标宋简体" w:eastAsia="方正小标宋简体" w:cs="方正小标宋简体"/>
          <w:color w:val="auto"/>
          <w:sz w:val="44"/>
          <w:szCs w:val="44"/>
          <w:highlight w:val="none"/>
          <w:u w:val="none"/>
          <w:lang w:val="zh-CN"/>
        </w:rPr>
      </w:pPr>
      <w:r>
        <w:rPr>
          <w:rFonts w:hint="eastAsia" w:ascii="方正小标宋简体" w:hAnsi="方正小标宋简体" w:eastAsia="方正小标宋简体" w:cs="方正小标宋简体"/>
          <w:color w:val="auto"/>
          <w:sz w:val="44"/>
          <w:szCs w:val="44"/>
          <w:highlight w:val="none"/>
          <w:u w:val="none"/>
        </w:rPr>
        <w:t>湖南省绿色建筑标识</w:t>
      </w:r>
      <w:r>
        <w:rPr>
          <w:rFonts w:hint="eastAsia" w:ascii="方正小标宋简体" w:hAnsi="方正小标宋简体" w:eastAsia="方正小标宋简体" w:cs="方正小标宋简体"/>
          <w:color w:val="auto"/>
          <w:sz w:val="44"/>
          <w:szCs w:val="44"/>
          <w:highlight w:val="none"/>
          <w:u w:val="none"/>
          <w:lang w:val="zh-CN"/>
        </w:rPr>
        <w:t>市州</w:t>
      </w:r>
      <w:r>
        <w:rPr>
          <w:rFonts w:hint="eastAsia" w:ascii="方正小标宋简体" w:hAnsi="方正小标宋简体" w:eastAsia="方正小标宋简体" w:cs="方正小标宋简体"/>
          <w:color w:val="auto"/>
          <w:sz w:val="44"/>
          <w:szCs w:val="44"/>
          <w:highlight w:val="none"/>
          <w:u w:val="none"/>
        </w:rPr>
        <w:t>编号</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4"/>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64" w:type="dxa"/>
            <w:vAlign w:val="center"/>
          </w:tcPr>
          <w:p>
            <w:pPr>
              <w:spacing w:line="560" w:lineRule="exact"/>
              <w:jc w:val="center"/>
              <w:rPr>
                <w:b/>
                <w:bCs/>
                <w:color w:val="auto"/>
                <w:szCs w:val="32"/>
                <w:highlight w:val="none"/>
                <w:u w:val="none"/>
              </w:rPr>
            </w:pPr>
            <w:r>
              <w:rPr>
                <w:b/>
                <w:bCs/>
                <w:color w:val="auto"/>
                <w:szCs w:val="32"/>
                <w:highlight w:val="none"/>
                <w:u w:val="none"/>
              </w:rPr>
              <w:t>市州</w:t>
            </w:r>
          </w:p>
        </w:tc>
        <w:tc>
          <w:tcPr>
            <w:tcW w:w="3571" w:type="dxa"/>
            <w:vAlign w:val="center"/>
          </w:tcPr>
          <w:p>
            <w:pPr>
              <w:spacing w:line="560" w:lineRule="exact"/>
              <w:jc w:val="center"/>
              <w:rPr>
                <w:b/>
                <w:bCs/>
                <w:color w:val="auto"/>
                <w:szCs w:val="32"/>
                <w:highlight w:val="none"/>
                <w:u w:val="none"/>
              </w:rPr>
            </w:pPr>
            <w:r>
              <w:rPr>
                <w:b/>
                <w:bCs/>
                <w:color w:val="auto"/>
                <w:szCs w:val="32"/>
                <w:highlight w:val="none"/>
                <w:u w:val="none"/>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64" w:type="dxa"/>
            <w:vAlign w:val="center"/>
          </w:tcPr>
          <w:p>
            <w:pPr>
              <w:spacing w:line="560" w:lineRule="exact"/>
              <w:jc w:val="center"/>
              <w:rPr>
                <w:color w:val="auto"/>
                <w:szCs w:val="32"/>
                <w:highlight w:val="none"/>
                <w:u w:val="none"/>
              </w:rPr>
            </w:pPr>
            <w:r>
              <w:rPr>
                <w:color w:val="auto"/>
                <w:szCs w:val="32"/>
                <w:highlight w:val="none"/>
                <w:u w:val="none"/>
              </w:rPr>
              <w:t>长沙</w:t>
            </w:r>
          </w:p>
        </w:tc>
        <w:tc>
          <w:tcPr>
            <w:tcW w:w="3571" w:type="dxa"/>
            <w:vAlign w:val="center"/>
          </w:tcPr>
          <w:p>
            <w:pPr>
              <w:spacing w:line="560" w:lineRule="exact"/>
              <w:jc w:val="center"/>
              <w:rPr>
                <w:color w:val="auto"/>
                <w:szCs w:val="32"/>
                <w:highlight w:val="none"/>
                <w:u w:val="none"/>
              </w:rPr>
            </w:pPr>
            <w:r>
              <w:rPr>
                <w:color w:val="auto"/>
                <w:szCs w:val="32"/>
                <w:highlight w:val="none"/>
                <w:u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64" w:type="dxa"/>
            <w:vAlign w:val="center"/>
          </w:tcPr>
          <w:p>
            <w:pPr>
              <w:spacing w:line="560" w:lineRule="exact"/>
              <w:jc w:val="center"/>
              <w:rPr>
                <w:color w:val="auto"/>
                <w:szCs w:val="32"/>
                <w:highlight w:val="none"/>
                <w:u w:val="none"/>
              </w:rPr>
            </w:pPr>
            <w:r>
              <w:rPr>
                <w:color w:val="auto"/>
                <w:szCs w:val="32"/>
                <w:highlight w:val="none"/>
                <w:u w:val="none"/>
              </w:rPr>
              <w:t>衡阳</w:t>
            </w:r>
          </w:p>
        </w:tc>
        <w:tc>
          <w:tcPr>
            <w:tcW w:w="3571" w:type="dxa"/>
            <w:vAlign w:val="center"/>
          </w:tcPr>
          <w:p>
            <w:pPr>
              <w:spacing w:line="560" w:lineRule="exact"/>
              <w:jc w:val="center"/>
              <w:rPr>
                <w:color w:val="auto"/>
                <w:szCs w:val="32"/>
                <w:highlight w:val="none"/>
                <w:u w:val="none"/>
              </w:rPr>
            </w:pPr>
            <w:r>
              <w:rPr>
                <w:color w:val="auto"/>
                <w:szCs w:val="32"/>
                <w:highlight w:val="none"/>
                <w:u w:val="non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64" w:type="dxa"/>
            <w:vAlign w:val="center"/>
          </w:tcPr>
          <w:p>
            <w:pPr>
              <w:spacing w:line="560" w:lineRule="exact"/>
              <w:jc w:val="center"/>
              <w:rPr>
                <w:color w:val="auto"/>
                <w:szCs w:val="32"/>
                <w:highlight w:val="none"/>
                <w:u w:val="none"/>
              </w:rPr>
            </w:pPr>
            <w:r>
              <w:rPr>
                <w:color w:val="auto"/>
                <w:szCs w:val="32"/>
                <w:highlight w:val="none"/>
                <w:u w:val="none"/>
              </w:rPr>
              <w:t>株洲</w:t>
            </w:r>
          </w:p>
        </w:tc>
        <w:tc>
          <w:tcPr>
            <w:tcW w:w="3571" w:type="dxa"/>
            <w:vAlign w:val="center"/>
          </w:tcPr>
          <w:p>
            <w:pPr>
              <w:spacing w:line="560" w:lineRule="exact"/>
              <w:jc w:val="center"/>
              <w:rPr>
                <w:color w:val="auto"/>
                <w:szCs w:val="32"/>
                <w:highlight w:val="none"/>
                <w:u w:val="none"/>
              </w:rPr>
            </w:pPr>
            <w:r>
              <w:rPr>
                <w:color w:val="auto"/>
                <w:szCs w:val="32"/>
                <w:highlight w:val="none"/>
                <w:u w:val="none"/>
                <w:shd w:val="clear" w:color="auto"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64" w:type="dxa"/>
            <w:vAlign w:val="center"/>
          </w:tcPr>
          <w:p>
            <w:pPr>
              <w:spacing w:line="560" w:lineRule="exact"/>
              <w:jc w:val="center"/>
              <w:rPr>
                <w:color w:val="auto"/>
                <w:szCs w:val="32"/>
                <w:highlight w:val="none"/>
                <w:u w:val="none"/>
              </w:rPr>
            </w:pPr>
            <w:r>
              <w:rPr>
                <w:color w:val="auto"/>
                <w:szCs w:val="32"/>
                <w:highlight w:val="none"/>
                <w:u w:val="none"/>
              </w:rPr>
              <w:t>湘潭</w:t>
            </w:r>
          </w:p>
        </w:tc>
        <w:tc>
          <w:tcPr>
            <w:tcW w:w="3571" w:type="dxa"/>
            <w:vAlign w:val="center"/>
          </w:tcPr>
          <w:p>
            <w:pPr>
              <w:spacing w:line="560" w:lineRule="exact"/>
              <w:jc w:val="center"/>
              <w:rPr>
                <w:color w:val="auto"/>
                <w:szCs w:val="32"/>
                <w:highlight w:val="none"/>
                <w:u w:val="none"/>
              </w:rPr>
            </w:pPr>
            <w:r>
              <w:rPr>
                <w:color w:val="auto"/>
                <w:szCs w:val="32"/>
                <w:highlight w:val="none"/>
                <w:u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64" w:type="dxa"/>
            <w:vAlign w:val="center"/>
          </w:tcPr>
          <w:p>
            <w:pPr>
              <w:spacing w:line="560" w:lineRule="exact"/>
              <w:jc w:val="center"/>
              <w:rPr>
                <w:color w:val="auto"/>
                <w:szCs w:val="32"/>
                <w:highlight w:val="none"/>
                <w:u w:val="none"/>
              </w:rPr>
            </w:pPr>
            <w:r>
              <w:rPr>
                <w:color w:val="auto"/>
                <w:szCs w:val="32"/>
                <w:highlight w:val="none"/>
                <w:u w:val="none"/>
              </w:rPr>
              <w:t>邵阳</w:t>
            </w:r>
          </w:p>
        </w:tc>
        <w:tc>
          <w:tcPr>
            <w:tcW w:w="3571" w:type="dxa"/>
            <w:vAlign w:val="center"/>
          </w:tcPr>
          <w:p>
            <w:pPr>
              <w:spacing w:line="560" w:lineRule="exact"/>
              <w:jc w:val="center"/>
              <w:rPr>
                <w:color w:val="auto"/>
                <w:szCs w:val="32"/>
                <w:highlight w:val="none"/>
                <w:u w:val="none"/>
              </w:rPr>
            </w:pPr>
            <w:r>
              <w:rPr>
                <w:color w:val="auto"/>
                <w:szCs w:val="32"/>
                <w:highlight w:val="none"/>
                <w:u w:val="none"/>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64" w:type="dxa"/>
            <w:vAlign w:val="center"/>
          </w:tcPr>
          <w:p>
            <w:pPr>
              <w:spacing w:line="560" w:lineRule="exact"/>
              <w:jc w:val="center"/>
              <w:rPr>
                <w:color w:val="auto"/>
                <w:szCs w:val="32"/>
                <w:highlight w:val="none"/>
                <w:u w:val="none"/>
              </w:rPr>
            </w:pPr>
            <w:r>
              <w:rPr>
                <w:color w:val="auto"/>
                <w:szCs w:val="32"/>
                <w:highlight w:val="none"/>
                <w:u w:val="none"/>
              </w:rPr>
              <w:t>岳阳</w:t>
            </w:r>
          </w:p>
        </w:tc>
        <w:tc>
          <w:tcPr>
            <w:tcW w:w="3571" w:type="dxa"/>
            <w:vAlign w:val="center"/>
          </w:tcPr>
          <w:p>
            <w:pPr>
              <w:spacing w:line="560" w:lineRule="exact"/>
              <w:jc w:val="center"/>
              <w:rPr>
                <w:color w:val="auto"/>
                <w:szCs w:val="32"/>
                <w:highlight w:val="none"/>
                <w:u w:val="none"/>
              </w:rPr>
            </w:pPr>
            <w:r>
              <w:rPr>
                <w:color w:val="auto"/>
                <w:szCs w:val="32"/>
                <w:highlight w:val="none"/>
                <w:u w:val="none"/>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64" w:type="dxa"/>
            <w:vAlign w:val="center"/>
          </w:tcPr>
          <w:p>
            <w:pPr>
              <w:spacing w:line="560" w:lineRule="exact"/>
              <w:jc w:val="center"/>
              <w:rPr>
                <w:color w:val="auto"/>
                <w:szCs w:val="32"/>
                <w:highlight w:val="none"/>
                <w:u w:val="none"/>
              </w:rPr>
            </w:pPr>
            <w:r>
              <w:rPr>
                <w:color w:val="auto"/>
                <w:szCs w:val="32"/>
                <w:highlight w:val="none"/>
                <w:u w:val="none"/>
              </w:rPr>
              <w:t>常德</w:t>
            </w:r>
          </w:p>
        </w:tc>
        <w:tc>
          <w:tcPr>
            <w:tcW w:w="3571" w:type="dxa"/>
            <w:vAlign w:val="center"/>
          </w:tcPr>
          <w:p>
            <w:pPr>
              <w:spacing w:line="560" w:lineRule="exact"/>
              <w:jc w:val="center"/>
              <w:rPr>
                <w:color w:val="auto"/>
                <w:szCs w:val="32"/>
                <w:highlight w:val="none"/>
                <w:u w:val="none"/>
              </w:rPr>
            </w:pPr>
            <w:r>
              <w:rPr>
                <w:color w:val="auto"/>
                <w:szCs w:val="32"/>
                <w:highlight w:val="none"/>
                <w:u w:val="none"/>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64" w:type="dxa"/>
            <w:vAlign w:val="center"/>
          </w:tcPr>
          <w:p>
            <w:pPr>
              <w:spacing w:line="560" w:lineRule="exact"/>
              <w:jc w:val="center"/>
              <w:rPr>
                <w:color w:val="auto"/>
                <w:szCs w:val="32"/>
                <w:highlight w:val="none"/>
                <w:u w:val="none"/>
              </w:rPr>
            </w:pPr>
            <w:r>
              <w:rPr>
                <w:color w:val="auto"/>
                <w:szCs w:val="32"/>
                <w:highlight w:val="none"/>
                <w:u w:val="none"/>
              </w:rPr>
              <w:t>张家界</w:t>
            </w:r>
          </w:p>
        </w:tc>
        <w:tc>
          <w:tcPr>
            <w:tcW w:w="3571" w:type="dxa"/>
            <w:vAlign w:val="center"/>
          </w:tcPr>
          <w:p>
            <w:pPr>
              <w:spacing w:line="560" w:lineRule="exact"/>
              <w:jc w:val="center"/>
              <w:rPr>
                <w:color w:val="auto"/>
                <w:szCs w:val="32"/>
                <w:highlight w:val="none"/>
                <w:u w:val="none"/>
              </w:rPr>
            </w:pPr>
            <w:r>
              <w:rPr>
                <w:color w:val="auto"/>
                <w:szCs w:val="32"/>
                <w:highlight w:val="none"/>
                <w:u w:val="none"/>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64" w:type="dxa"/>
            <w:vAlign w:val="center"/>
          </w:tcPr>
          <w:p>
            <w:pPr>
              <w:spacing w:line="560" w:lineRule="exact"/>
              <w:jc w:val="center"/>
              <w:rPr>
                <w:color w:val="auto"/>
                <w:szCs w:val="32"/>
                <w:highlight w:val="none"/>
                <w:u w:val="none"/>
              </w:rPr>
            </w:pPr>
            <w:r>
              <w:rPr>
                <w:color w:val="auto"/>
                <w:szCs w:val="32"/>
                <w:highlight w:val="none"/>
                <w:u w:val="none"/>
              </w:rPr>
              <w:t>益阳</w:t>
            </w:r>
          </w:p>
        </w:tc>
        <w:tc>
          <w:tcPr>
            <w:tcW w:w="3571" w:type="dxa"/>
            <w:vAlign w:val="center"/>
          </w:tcPr>
          <w:p>
            <w:pPr>
              <w:spacing w:line="560" w:lineRule="exact"/>
              <w:jc w:val="center"/>
              <w:rPr>
                <w:color w:val="auto"/>
                <w:szCs w:val="32"/>
                <w:highlight w:val="none"/>
                <w:u w:val="none"/>
              </w:rPr>
            </w:pPr>
            <w:r>
              <w:rPr>
                <w:color w:val="auto"/>
                <w:szCs w:val="32"/>
                <w:highlight w:val="none"/>
                <w:u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64" w:type="dxa"/>
            <w:vAlign w:val="center"/>
          </w:tcPr>
          <w:p>
            <w:pPr>
              <w:spacing w:line="560" w:lineRule="exact"/>
              <w:jc w:val="center"/>
              <w:rPr>
                <w:color w:val="auto"/>
                <w:szCs w:val="32"/>
                <w:highlight w:val="none"/>
                <w:u w:val="none"/>
              </w:rPr>
            </w:pPr>
            <w:r>
              <w:rPr>
                <w:color w:val="auto"/>
                <w:szCs w:val="32"/>
                <w:highlight w:val="none"/>
                <w:u w:val="none"/>
              </w:rPr>
              <w:t>郴州</w:t>
            </w:r>
          </w:p>
        </w:tc>
        <w:tc>
          <w:tcPr>
            <w:tcW w:w="3571" w:type="dxa"/>
            <w:vAlign w:val="center"/>
          </w:tcPr>
          <w:p>
            <w:pPr>
              <w:spacing w:line="560" w:lineRule="exact"/>
              <w:jc w:val="center"/>
              <w:rPr>
                <w:color w:val="auto"/>
                <w:szCs w:val="32"/>
                <w:highlight w:val="none"/>
                <w:u w:val="none"/>
              </w:rPr>
            </w:pPr>
            <w:r>
              <w:rPr>
                <w:color w:val="auto"/>
                <w:szCs w:val="32"/>
                <w:highlight w:val="none"/>
                <w:u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64" w:type="dxa"/>
            <w:vAlign w:val="center"/>
          </w:tcPr>
          <w:p>
            <w:pPr>
              <w:spacing w:line="560" w:lineRule="exact"/>
              <w:jc w:val="center"/>
              <w:rPr>
                <w:color w:val="auto"/>
                <w:szCs w:val="32"/>
                <w:highlight w:val="none"/>
                <w:u w:val="none"/>
              </w:rPr>
            </w:pPr>
            <w:r>
              <w:rPr>
                <w:color w:val="auto"/>
                <w:szCs w:val="32"/>
                <w:highlight w:val="none"/>
                <w:u w:val="none"/>
              </w:rPr>
              <w:t>永州</w:t>
            </w:r>
          </w:p>
        </w:tc>
        <w:tc>
          <w:tcPr>
            <w:tcW w:w="3571" w:type="dxa"/>
            <w:vAlign w:val="center"/>
          </w:tcPr>
          <w:p>
            <w:pPr>
              <w:spacing w:line="560" w:lineRule="exact"/>
              <w:jc w:val="center"/>
              <w:rPr>
                <w:color w:val="auto"/>
                <w:szCs w:val="32"/>
                <w:highlight w:val="none"/>
                <w:u w:val="none"/>
              </w:rPr>
            </w:pPr>
            <w:r>
              <w:rPr>
                <w:color w:val="auto"/>
                <w:szCs w:val="32"/>
                <w:highlight w:val="none"/>
                <w:u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64" w:type="dxa"/>
            <w:vAlign w:val="center"/>
          </w:tcPr>
          <w:p>
            <w:pPr>
              <w:spacing w:line="560" w:lineRule="exact"/>
              <w:jc w:val="center"/>
              <w:rPr>
                <w:color w:val="auto"/>
                <w:szCs w:val="32"/>
                <w:highlight w:val="none"/>
                <w:u w:val="none"/>
              </w:rPr>
            </w:pPr>
            <w:r>
              <w:rPr>
                <w:color w:val="auto"/>
                <w:szCs w:val="32"/>
                <w:highlight w:val="none"/>
                <w:u w:val="none"/>
              </w:rPr>
              <w:t>怀化</w:t>
            </w:r>
          </w:p>
        </w:tc>
        <w:tc>
          <w:tcPr>
            <w:tcW w:w="3571" w:type="dxa"/>
            <w:vAlign w:val="center"/>
          </w:tcPr>
          <w:p>
            <w:pPr>
              <w:spacing w:line="560" w:lineRule="exact"/>
              <w:jc w:val="center"/>
              <w:rPr>
                <w:color w:val="auto"/>
                <w:szCs w:val="32"/>
                <w:highlight w:val="none"/>
                <w:u w:val="none"/>
              </w:rPr>
            </w:pPr>
            <w:r>
              <w:rPr>
                <w:color w:val="auto"/>
                <w:szCs w:val="32"/>
                <w:highlight w:val="none"/>
                <w:u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864" w:type="dxa"/>
            <w:vAlign w:val="center"/>
          </w:tcPr>
          <w:p>
            <w:pPr>
              <w:spacing w:line="560" w:lineRule="exact"/>
              <w:jc w:val="center"/>
              <w:rPr>
                <w:color w:val="auto"/>
                <w:szCs w:val="32"/>
                <w:highlight w:val="none"/>
                <w:u w:val="none"/>
              </w:rPr>
            </w:pPr>
            <w:r>
              <w:rPr>
                <w:color w:val="auto"/>
                <w:szCs w:val="32"/>
                <w:highlight w:val="none"/>
                <w:u w:val="none"/>
              </w:rPr>
              <w:t>娄底</w:t>
            </w:r>
          </w:p>
        </w:tc>
        <w:tc>
          <w:tcPr>
            <w:tcW w:w="3571" w:type="dxa"/>
            <w:vAlign w:val="center"/>
          </w:tcPr>
          <w:p>
            <w:pPr>
              <w:spacing w:line="560" w:lineRule="exact"/>
              <w:jc w:val="center"/>
              <w:rPr>
                <w:color w:val="auto"/>
                <w:szCs w:val="32"/>
                <w:highlight w:val="none"/>
                <w:u w:val="none"/>
              </w:rPr>
            </w:pPr>
            <w:r>
              <w:rPr>
                <w:color w:val="auto"/>
                <w:szCs w:val="32"/>
                <w:highlight w:val="none"/>
                <w:u w:val="none"/>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864" w:type="dxa"/>
            <w:vAlign w:val="center"/>
          </w:tcPr>
          <w:p>
            <w:pPr>
              <w:spacing w:line="560" w:lineRule="exact"/>
              <w:jc w:val="center"/>
              <w:rPr>
                <w:color w:val="auto"/>
                <w:szCs w:val="32"/>
                <w:highlight w:val="none"/>
                <w:u w:val="none"/>
              </w:rPr>
            </w:pPr>
            <w:r>
              <w:rPr>
                <w:color w:val="auto"/>
                <w:szCs w:val="32"/>
                <w:highlight w:val="none"/>
                <w:u w:val="none"/>
              </w:rPr>
              <w:t>湘西州</w:t>
            </w:r>
          </w:p>
        </w:tc>
        <w:tc>
          <w:tcPr>
            <w:tcW w:w="3571" w:type="dxa"/>
            <w:vAlign w:val="center"/>
          </w:tcPr>
          <w:p>
            <w:pPr>
              <w:spacing w:line="560" w:lineRule="exact"/>
              <w:jc w:val="center"/>
              <w:rPr>
                <w:color w:val="auto"/>
                <w:szCs w:val="32"/>
                <w:highlight w:val="none"/>
                <w:u w:val="none"/>
              </w:rPr>
            </w:pPr>
            <w:r>
              <w:rPr>
                <w:color w:val="auto"/>
                <w:szCs w:val="32"/>
                <w:highlight w:val="none"/>
                <w:u w:val="none"/>
              </w:rPr>
              <w:t>U</w:t>
            </w:r>
          </w:p>
        </w:tc>
      </w:tr>
    </w:tbl>
    <w:p>
      <w:pPr>
        <w:pStyle w:val="15"/>
        <w:numPr>
          <w:ilvl w:val="1"/>
          <w:numId w:val="0"/>
        </w:numPr>
        <w:spacing w:beforeLines="0" w:after="0" w:line="560" w:lineRule="exact"/>
        <w:rPr>
          <w:rFonts w:ascii="Times New Roman" w:hAnsi="Times New Roman"/>
          <w:color w:val="auto"/>
          <w:sz w:val="32"/>
          <w:szCs w:val="32"/>
          <w:highlight w:val="none"/>
          <w:u w:val="none"/>
        </w:rPr>
      </w:pPr>
    </w:p>
    <w:sectPr>
      <w:footerReference r:id="rId3" w:type="default"/>
      <w:pgSz w:w="11906" w:h="16838"/>
      <w:pgMar w:top="2098" w:right="1587" w:bottom="2098" w:left="1587" w:header="1701" w:footer="1701" w:gutter="0"/>
      <w:pgNumType w:fmt="decimal" w:start="2"/>
      <w:cols w:space="0" w:num="1"/>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spacing w:beforeLines="50" w:afterLines="50"/>
                  <w:jc w:val="center"/>
                  <w:textAlignment w:val="baseline"/>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A4948"/>
    <w:multiLevelType w:val="multilevel"/>
    <w:tmpl w:val="344A4948"/>
    <w:lvl w:ilvl="0" w:tentative="0">
      <w:start w:val="1"/>
      <w:numFmt w:val="decimal"/>
      <w:lvlText w:val="%1"/>
      <w:lvlJc w:val="left"/>
      <w:pPr>
        <w:ind w:left="720" w:hanging="720"/>
      </w:pPr>
      <w:rPr>
        <w:rFonts w:hint="default"/>
        <w:sz w:val="44"/>
      </w:rPr>
    </w:lvl>
    <w:lvl w:ilvl="1" w:tentative="0">
      <w:start w:val="1"/>
      <w:numFmt w:val="lowerLetter"/>
      <w:pStyle w:val="1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HorizontalSpacing w:val="156"/>
  <w:drawingGridVerticalSpacing w:val="287"/>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Y3MTA3NGQ0NDE0ZWY1MzBkMzhiOWQ0NGFjMGQ1ZjcifQ=="/>
  </w:docVars>
  <w:rsids>
    <w:rsidRoot w:val="78767113"/>
    <w:rsid w:val="00040D2D"/>
    <w:rsid w:val="000A0C97"/>
    <w:rsid w:val="000A13C0"/>
    <w:rsid w:val="000A3038"/>
    <w:rsid w:val="000A625A"/>
    <w:rsid w:val="000B1B27"/>
    <w:rsid w:val="000B32A2"/>
    <w:rsid w:val="000F259C"/>
    <w:rsid w:val="000F32C1"/>
    <w:rsid w:val="00184E64"/>
    <w:rsid w:val="001C3F9E"/>
    <w:rsid w:val="001C5EBD"/>
    <w:rsid w:val="001E6213"/>
    <w:rsid w:val="001F7137"/>
    <w:rsid w:val="0024011E"/>
    <w:rsid w:val="00246917"/>
    <w:rsid w:val="002505B0"/>
    <w:rsid w:val="002E7C41"/>
    <w:rsid w:val="00300B0F"/>
    <w:rsid w:val="00322B01"/>
    <w:rsid w:val="00327FAE"/>
    <w:rsid w:val="00333415"/>
    <w:rsid w:val="00334D14"/>
    <w:rsid w:val="00335F63"/>
    <w:rsid w:val="00346A4D"/>
    <w:rsid w:val="003862E7"/>
    <w:rsid w:val="003D0556"/>
    <w:rsid w:val="00407E3C"/>
    <w:rsid w:val="004326CC"/>
    <w:rsid w:val="00470E7A"/>
    <w:rsid w:val="004802C4"/>
    <w:rsid w:val="00484DE7"/>
    <w:rsid w:val="0048796B"/>
    <w:rsid w:val="004D4D4E"/>
    <w:rsid w:val="00500E55"/>
    <w:rsid w:val="0051114C"/>
    <w:rsid w:val="00512A75"/>
    <w:rsid w:val="00550515"/>
    <w:rsid w:val="00555770"/>
    <w:rsid w:val="005A6488"/>
    <w:rsid w:val="005F3775"/>
    <w:rsid w:val="006416CA"/>
    <w:rsid w:val="00697C44"/>
    <w:rsid w:val="006B1254"/>
    <w:rsid w:val="006F4A1E"/>
    <w:rsid w:val="00702DB5"/>
    <w:rsid w:val="00711572"/>
    <w:rsid w:val="007471B7"/>
    <w:rsid w:val="00747FC7"/>
    <w:rsid w:val="0076561C"/>
    <w:rsid w:val="007A3521"/>
    <w:rsid w:val="007B7B04"/>
    <w:rsid w:val="007D3F97"/>
    <w:rsid w:val="007E64E0"/>
    <w:rsid w:val="00830E75"/>
    <w:rsid w:val="0083630D"/>
    <w:rsid w:val="00837748"/>
    <w:rsid w:val="00876AC0"/>
    <w:rsid w:val="00890E9E"/>
    <w:rsid w:val="00893960"/>
    <w:rsid w:val="008A0985"/>
    <w:rsid w:val="008E0871"/>
    <w:rsid w:val="008E1B66"/>
    <w:rsid w:val="00933FCF"/>
    <w:rsid w:val="00966355"/>
    <w:rsid w:val="009A03B7"/>
    <w:rsid w:val="009A3D99"/>
    <w:rsid w:val="009B6CC1"/>
    <w:rsid w:val="00A0077B"/>
    <w:rsid w:val="00A424C5"/>
    <w:rsid w:val="00A62974"/>
    <w:rsid w:val="00A77FF7"/>
    <w:rsid w:val="00AE0183"/>
    <w:rsid w:val="00AE1AC9"/>
    <w:rsid w:val="00AE24A0"/>
    <w:rsid w:val="00B13253"/>
    <w:rsid w:val="00B24D43"/>
    <w:rsid w:val="00B423E3"/>
    <w:rsid w:val="00B6504C"/>
    <w:rsid w:val="00B900E2"/>
    <w:rsid w:val="00BC0A4C"/>
    <w:rsid w:val="00BC0CC2"/>
    <w:rsid w:val="00BC1263"/>
    <w:rsid w:val="00BC33D1"/>
    <w:rsid w:val="00BE408B"/>
    <w:rsid w:val="00BF3752"/>
    <w:rsid w:val="00C13CC1"/>
    <w:rsid w:val="00C14AC9"/>
    <w:rsid w:val="00C84C1B"/>
    <w:rsid w:val="00D313CE"/>
    <w:rsid w:val="00D66C5E"/>
    <w:rsid w:val="00D97820"/>
    <w:rsid w:val="00DB1A45"/>
    <w:rsid w:val="00DC2C85"/>
    <w:rsid w:val="00DE2482"/>
    <w:rsid w:val="00DF00D0"/>
    <w:rsid w:val="00E2470D"/>
    <w:rsid w:val="00E673BC"/>
    <w:rsid w:val="00E72511"/>
    <w:rsid w:val="00E80336"/>
    <w:rsid w:val="00E81E3C"/>
    <w:rsid w:val="00E9766B"/>
    <w:rsid w:val="00EE7B4C"/>
    <w:rsid w:val="00F17CC8"/>
    <w:rsid w:val="00F26EFC"/>
    <w:rsid w:val="00F35BA3"/>
    <w:rsid w:val="00F5597E"/>
    <w:rsid w:val="00FA2D85"/>
    <w:rsid w:val="00FB18BF"/>
    <w:rsid w:val="00FB59F0"/>
    <w:rsid w:val="00FB67C9"/>
    <w:rsid w:val="00FF4049"/>
    <w:rsid w:val="026003DA"/>
    <w:rsid w:val="03AB7B6C"/>
    <w:rsid w:val="053B7783"/>
    <w:rsid w:val="08E02171"/>
    <w:rsid w:val="096313A9"/>
    <w:rsid w:val="0A1C29EC"/>
    <w:rsid w:val="0BB7550F"/>
    <w:rsid w:val="154D055B"/>
    <w:rsid w:val="15762C62"/>
    <w:rsid w:val="175C2167"/>
    <w:rsid w:val="17A23A0F"/>
    <w:rsid w:val="1800023D"/>
    <w:rsid w:val="1A1506CB"/>
    <w:rsid w:val="1AB31597"/>
    <w:rsid w:val="1ACD1ADB"/>
    <w:rsid w:val="1B0167A6"/>
    <w:rsid w:val="1C5652AF"/>
    <w:rsid w:val="1CFE8FB8"/>
    <w:rsid w:val="1E7F0598"/>
    <w:rsid w:val="20030393"/>
    <w:rsid w:val="20DB6C0C"/>
    <w:rsid w:val="213D4C18"/>
    <w:rsid w:val="21962D28"/>
    <w:rsid w:val="21C978F2"/>
    <w:rsid w:val="22696D76"/>
    <w:rsid w:val="229E0D7F"/>
    <w:rsid w:val="22DD51CD"/>
    <w:rsid w:val="23C30A9D"/>
    <w:rsid w:val="23E80503"/>
    <w:rsid w:val="24A35E80"/>
    <w:rsid w:val="24C17129"/>
    <w:rsid w:val="28942A08"/>
    <w:rsid w:val="29477D81"/>
    <w:rsid w:val="2A5F0834"/>
    <w:rsid w:val="2BC02D42"/>
    <w:rsid w:val="2D5F7CB2"/>
    <w:rsid w:val="2DEA30CA"/>
    <w:rsid w:val="2E935E6C"/>
    <w:rsid w:val="2FD5206B"/>
    <w:rsid w:val="31CA1248"/>
    <w:rsid w:val="32B21ABB"/>
    <w:rsid w:val="32CC7747"/>
    <w:rsid w:val="32D14858"/>
    <w:rsid w:val="34F067BB"/>
    <w:rsid w:val="3552FE92"/>
    <w:rsid w:val="35645510"/>
    <w:rsid w:val="35B43C28"/>
    <w:rsid w:val="36140CE4"/>
    <w:rsid w:val="37337890"/>
    <w:rsid w:val="37F147B3"/>
    <w:rsid w:val="38130D6E"/>
    <w:rsid w:val="3905525C"/>
    <w:rsid w:val="3ACE64E9"/>
    <w:rsid w:val="3CFA0F2A"/>
    <w:rsid w:val="3D4A54E3"/>
    <w:rsid w:val="3D7C2CB7"/>
    <w:rsid w:val="3DDD12C7"/>
    <w:rsid w:val="3FE3F913"/>
    <w:rsid w:val="3FFD0A3B"/>
    <w:rsid w:val="3FFF7F4B"/>
    <w:rsid w:val="3FFFA7D6"/>
    <w:rsid w:val="405E5FCA"/>
    <w:rsid w:val="41DC6157"/>
    <w:rsid w:val="446E1F07"/>
    <w:rsid w:val="448B2AB9"/>
    <w:rsid w:val="44A3143E"/>
    <w:rsid w:val="45DB4E7C"/>
    <w:rsid w:val="46ED18ED"/>
    <w:rsid w:val="47947DA7"/>
    <w:rsid w:val="49125EB2"/>
    <w:rsid w:val="493A5D80"/>
    <w:rsid w:val="49F5EB96"/>
    <w:rsid w:val="4AAB2E81"/>
    <w:rsid w:val="4B280462"/>
    <w:rsid w:val="4BC15EF8"/>
    <w:rsid w:val="4C574B22"/>
    <w:rsid w:val="4D1B477C"/>
    <w:rsid w:val="4E3FDB25"/>
    <w:rsid w:val="500F4983"/>
    <w:rsid w:val="50811214"/>
    <w:rsid w:val="51F526D3"/>
    <w:rsid w:val="523F2CAF"/>
    <w:rsid w:val="529B33F3"/>
    <w:rsid w:val="53322B20"/>
    <w:rsid w:val="540C5299"/>
    <w:rsid w:val="542660D4"/>
    <w:rsid w:val="55194601"/>
    <w:rsid w:val="565A1294"/>
    <w:rsid w:val="588365AE"/>
    <w:rsid w:val="58931234"/>
    <w:rsid w:val="596E3FB9"/>
    <w:rsid w:val="5BAE0B01"/>
    <w:rsid w:val="5BFD727B"/>
    <w:rsid w:val="5D3715D8"/>
    <w:rsid w:val="5DB74F91"/>
    <w:rsid w:val="5DECC3F3"/>
    <w:rsid w:val="5E4F5725"/>
    <w:rsid w:val="5EFD58FA"/>
    <w:rsid w:val="5F2142EE"/>
    <w:rsid w:val="5F5C5492"/>
    <w:rsid w:val="5FE5ED80"/>
    <w:rsid w:val="5FF05A6E"/>
    <w:rsid w:val="5FF364CE"/>
    <w:rsid w:val="5FF3D171"/>
    <w:rsid w:val="5FFDBB27"/>
    <w:rsid w:val="5FFF0735"/>
    <w:rsid w:val="5FFF3013"/>
    <w:rsid w:val="603E4BC6"/>
    <w:rsid w:val="608A4259"/>
    <w:rsid w:val="60AD080A"/>
    <w:rsid w:val="61870D75"/>
    <w:rsid w:val="65A4764D"/>
    <w:rsid w:val="666B3962"/>
    <w:rsid w:val="66703722"/>
    <w:rsid w:val="66947B1D"/>
    <w:rsid w:val="67701963"/>
    <w:rsid w:val="6A845731"/>
    <w:rsid w:val="6A992FE3"/>
    <w:rsid w:val="6AED322E"/>
    <w:rsid w:val="6B7F7204"/>
    <w:rsid w:val="6BF678A4"/>
    <w:rsid w:val="6C7678E8"/>
    <w:rsid w:val="6C923096"/>
    <w:rsid w:val="6CDB0776"/>
    <w:rsid w:val="6CDC3602"/>
    <w:rsid w:val="6D7FA2AA"/>
    <w:rsid w:val="6DA85BDA"/>
    <w:rsid w:val="6DDB969B"/>
    <w:rsid w:val="6DF6077F"/>
    <w:rsid w:val="6F6618A9"/>
    <w:rsid w:val="6FBA62FD"/>
    <w:rsid w:val="6FF93941"/>
    <w:rsid w:val="713F8184"/>
    <w:rsid w:val="72F73576"/>
    <w:rsid w:val="73A330CC"/>
    <w:rsid w:val="742443D0"/>
    <w:rsid w:val="74F319D3"/>
    <w:rsid w:val="75BA480C"/>
    <w:rsid w:val="75DE995F"/>
    <w:rsid w:val="764C47B7"/>
    <w:rsid w:val="76530DD9"/>
    <w:rsid w:val="777A9FFC"/>
    <w:rsid w:val="77A308FE"/>
    <w:rsid w:val="77B772D1"/>
    <w:rsid w:val="78623556"/>
    <w:rsid w:val="78767113"/>
    <w:rsid w:val="78DB61EF"/>
    <w:rsid w:val="78E421BD"/>
    <w:rsid w:val="7A76BE43"/>
    <w:rsid w:val="7AC27F29"/>
    <w:rsid w:val="7ADC8E02"/>
    <w:rsid w:val="7AF32801"/>
    <w:rsid w:val="7AF46B5F"/>
    <w:rsid w:val="7AF603FA"/>
    <w:rsid w:val="7BAA1EDB"/>
    <w:rsid w:val="7BDEE75A"/>
    <w:rsid w:val="7BF50011"/>
    <w:rsid w:val="7CD27B97"/>
    <w:rsid w:val="7D6A5FD4"/>
    <w:rsid w:val="7E5B234E"/>
    <w:rsid w:val="7E6F47F1"/>
    <w:rsid w:val="7EAE6D18"/>
    <w:rsid w:val="7EBFEAFF"/>
    <w:rsid w:val="7EDF01A5"/>
    <w:rsid w:val="7F3A40A9"/>
    <w:rsid w:val="7FBF1F29"/>
    <w:rsid w:val="7FDED643"/>
    <w:rsid w:val="7FDF1882"/>
    <w:rsid w:val="7FE7E546"/>
    <w:rsid w:val="7FF37C7B"/>
    <w:rsid w:val="7FFF0747"/>
    <w:rsid w:val="9677177F"/>
    <w:rsid w:val="9BEF1EFC"/>
    <w:rsid w:val="9FEDC422"/>
    <w:rsid w:val="9FFF0DE9"/>
    <w:rsid w:val="B53FD079"/>
    <w:rsid w:val="BBC31CA9"/>
    <w:rsid w:val="BD7DBD35"/>
    <w:rsid w:val="BEFE1697"/>
    <w:rsid w:val="BF3E9B0C"/>
    <w:rsid w:val="BF4D559A"/>
    <w:rsid w:val="BFDD21C9"/>
    <w:rsid w:val="BFFEA94B"/>
    <w:rsid w:val="C736E4BE"/>
    <w:rsid w:val="D57A282E"/>
    <w:rsid w:val="DCFE4FEC"/>
    <w:rsid w:val="DDCA7A1C"/>
    <w:rsid w:val="DDDFCD0F"/>
    <w:rsid w:val="DEE7BEA3"/>
    <w:rsid w:val="DF57078B"/>
    <w:rsid w:val="DF9FCEED"/>
    <w:rsid w:val="DFA5DA0D"/>
    <w:rsid w:val="E3FEA5F1"/>
    <w:rsid w:val="EEFFFC26"/>
    <w:rsid w:val="EFBF0914"/>
    <w:rsid w:val="EFEF8CCD"/>
    <w:rsid w:val="F5F74D4C"/>
    <w:rsid w:val="F5F7D3E9"/>
    <w:rsid w:val="F6BF6B2E"/>
    <w:rsid w:val="F77D84ED"/>
    <w:rsid w:val="F7B51A20"/>
    <w:rsid w:val="F9F904C1"/>
    <w:rsid w:val="FBD7EFAA"/>
    <w:rsid w:val="FCAB139D"/>
    <w:rsid w:val="FDDB226A"/>
    <w:rsid w:val="FDE71475"/>
    <w:rsid w:val="FECBD82A"/>
    <w:rsid w:val="FF570DAE"/>
    <w:rsid w:val="FF5DC093"/>
    <w:rsid w:val="FF7A6DA0"/>
    <w:rsid w:val="FFAFEDDD"/>
    <w:rsid w:val="FFBF644E"/>
    <w:rsid w:val="FFFA8630"/>
    <w:rsid w:val="FFFFA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line="576"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jc w:val="left"/>
    </w:pPr>
    <w:rPr>
      <w:rFonts w:ascii="Calibri" w:hAnsi="Calibri"/>
      <w:szCs w:val="21"/>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Title"/>
    <w:basedOn w:val="1"/>
    <w:next w:val="1"/>
    <w:qFormat/>
    <w:uiPriority w:val="0"/>
    <w:pPr>
      <w:jc w:val="center"/>
      <w:outlineLvl w:val="0"/>
    </w:pPr>
    <w:rPr>
      <w:rFonts w:ascii="Cambria" w:hAnsi="Cambria"/>
      <w:b/>
      <w:bCs/>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标4"/>
    <w:basedOn w:val="16"/>
    <w:qFormat/>
    <w:uiPriority w:val="0"/>
    <w:pPr>
      <w:spacing w:before="240"/>
      <w:outlineLvl w:val="3"/>
    </w:pPr>
  </w:style>
  <w:style w:type="paragraph" w:customStyle="1" w:styleId="16">
    <w:name w:val="标3"/>
    <w:basedOn w:val="17"/>
    <w:qFormat/>
    <w:uiPriority w:val="0"/>
    <w:pPr>
      <w:adjustRightInd w:val="0"/>
      <w:spacing w:before="120" w:after="240" w:line="360" w:lineRule="auto"/>
      <w:jc w:val="left"/>
      <w:outlineLvl w:val="2"/>
    </w:pPr>
    <w:rPr>
      <w:rFonts w:ascii="Arial" w:hAnsi="Arial"/>
    </w:rPr>
  </w:style>
  <w:style w:type="paragraph" w:customStyle="1" w:styleId="17">
    <w:name w:val="标2"/>
    <w:basedOn w:val="9"/>
    <w:qFormat/>
    <w:uiPriority w:val="99"/>
    <w:pPr>
      <w:numPr>
        <w:ilvl w:val="1"/>
        <w:numId w:val="1"/>
      </w:numPr>
      <w:spacing w:beforeLines="50" w:line="440" w:lineRule="exact"/>
    </w:pPr>
    <w:rPr>
      <w:rFonts w:ascii="宋体" w:hAnsi="宋体"/>
      <w:kern w:val="24"/>
      <w:sz w:val="24"/>
      <w:szCs w:val="24"/>
    </w:rPr>
  </w:style>
  <w:style w:type="paragraph" w:customStyle="1" w:styleId="18">
    <w:name w:val="纯文本1"/>
    <w:basedOn w:val="1"/>
    <w:qFormat/>
    <w:uiPriority w:val="0"/>
    <w:rPr>
      <w:rFonts w:ascii="宋体" w:hAnsi="Courier New" w:cs="Courier New"/>
      <w:szCs w:val="21"/>
    </w:rPr>
  </w:style>
  <w:style w:type="character" w:customStyle="1" w:styleId="19">
    <w:name w:val="font51"/>
    <w:qFormat/>
    <w:uiPriority w:val="0"/>
    <w:rPr>
      <w:rFonts w:hint="default" w:ascii="Times New Roman" w:hAnsi="Times New Roman" w:cs="Times New Roman"/>
      <w:color w:val="000000"/>
      <w:sz w:val="32"/>
      <w:szCs w:val="32"/>
      <w:u w:val="none"/>
    </w:rPr>
  </w:style>
  <w:style w:type="character" w:customStyle="1" w:styleId="20">
    <w:name w:val="页眉 Char"/>
    <w:basedOn w:val="12"/>
    <w:link w:val="7"/>
    <w:qFormat/>
    <w:uiPriority w:val="0"/>
    <w:rPr>
      <w:kern w:val="2"/>
      <w:sz w:val="18"/>
      <w:szCs w:val="18"/>
    </w:rPr>
  </w:style>
  <w:style w:type="character" w:customStyle="1" w:styleId="21">
    <w:name w:val="页脚 Char"/>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446</Words>
  <Characters>2544</Characters>
  <Lines>21</Lines>
  <Paragraphs>5</Paragraphs>
  <TotalTime>9</TotalTime>
  <ScaleCrop>false</ScaleCrop>
  <LinksUpToDate>false</LinksUpToDate>
  <CharactersWithSpaces>2985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2024-07-28T17:23:00Z</dcterms:created>
  <dc:creator>留乖羊</dc:creator>
  <cp:lastModifiedBy>kylin</cp:lastModifiedBy>
  <cp:lastPrinted>2024-08-01T00:59:00Z</cp:lastPrinted>
  <dcterms:modified xsi:type="dcterms:W3CDTF">2024-08-06T09:04:02Z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FEE414B725A14805A861995DED9A59FA_13</vt:lpwstr>
  </property>
</Properties>
</file>