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78" w:rsidRPr="00B14D8E" w:rsidRDefault="009C0171" w:rsidP="00671010">
      <w:pPr>
        <w:spacing w:afterLines="50"/>
        <w:jc w:val="left"/>
        <w:rPr>
          <w:rFonts w:ascii="黑体" w:eastAsia="黑体" w:hAnsi="黑体" w:cs="Times New Roman"/>
          <w:color w:val="000000" w:themeColor="text1"/>
          <w:szCs w:val="32"/>
        </w:rPr>
      </w:pPr>
      <w:r w:rsidRPr="00B14D8E">
        <w:rPr>
          <w:rFonts w:ascii="黑体" w:eastAsia="黑体" w:hAnsi="黑体" w:cs="Times New Roman"/>
          <w:color w:val="000000" w:themeColor="text1"/>
          <w:szCs w:val="32"/>
        </w:rPr>
        <w:t>附</w:t>
      </w:r>
      <w:r w:rsidR="00B14D8E" w:rsidRPr="00B14D8E">
        <w:rPr>
          <w:rFonts w:ascii="黑体" w:eastAsia="黑体" w:hAnsi="黑体" w:cs="Times New Roman" w:hint="eastAsia"/>
          <w:color w:val="000000" w:themeColor="text1"/>
          <w:szCs w:val="32"/>
        </w:rPr>
        <w:t>件</w:t>
      </w:r>
      <w:r w:rsidRPr="00B14D8E">
        <w:rPr>
          <w:rFonts w:ascii="黑体" w:eastAsia="黑体" w:hAnsi="黑体" w:cs="Times New Roman" w:hint="eastAsia"/>
          <w:color w:val="000000" w:themeColor="text1"/>
          <w:szCs w:val="32"/>
        </w:rPr>
        <w:t>2</w:t>
      </w:r>
    </w:p>
    <w:p w:rsidR="00247C78" w:rsidRPr="00B14D8E" w:rsidRDefault="009C0171">
      <w:pPr>
        <w:spacing w:line="720" w:lineRule="exact"/>
        <w:jc w:val="center"/>
        <w:rPr>
          <w:rFonts w:ascii="方正小标宋简体" w:eastAsia="方正小标宋简体" w:hAnsi="Times New Roman" w:cs="Times New Roman"/>
          <w:color w:val="000000" w:themeColor="text1"/>
          <w:sz w:val="44"/>
          <w:szCs w:val="44"/>
        </w:rPr>
      </w:pPr>
      <w:r w:rsidRPr="00B14D8E">
        <w:rPr>
          <w:rFonts w:ascii="方正小标宋简体" w:eastAsia="方正小标宋简体" w:hAnsi="Times New Roman" w:cs="Times New Roman" w:hint="eastAsia"/>
          <w:color w:val="000000" w:themeColor="text1"/>
          <w:sz w:val="44"/>
          <w:szCs w:val="44"/>
        </w:rPr>
        <w:t>湖南省既有住宅加装电梯项目</w:t>
      </w:r>
    </w:p>
    <w:p w:rsidR="00247C78" w:rsidRPr="00B14D8E" w:rsidRDefault="009C0171">
      <w:pPr>
        <w:spacing w:line="720" w:lineRule="exact"/>
        <w:jc w:val="center"/>
        <w:rPr>
          <w:rFonts w:ascii="方正小标宋简体" w:eastAsia="方正小标宋简体" w:hAnsi="Times New Roman" w:cs="Times New Roman"/>
          <w:color w:val="000000" w:themeColor="text1"/>
          <w:sz w:val="44"/>
          <w:szCs w:val="44"/>
        </w:rPr>
      </w:pPr>
      <w:r w:rsidRPr="00B14D8E">
        <w:rPr>
          <w:rFonts w:ascii="方正小标宋简体" w:eastAsia="方正小标宋简体" w:hAnsi="Times New Roman" w:cs="Times New Roman" w:hint="eastAsia"/>
          <w:color w:val="000000" w:themeColor="text1"/>
          <w:sz w:val="44"/>
          <w:szCs w:val="44"/>
        </w:rPr>
        <w:t>用地规划许可阶段、工程建设许可阶段</w:t>
      </w:r>
    </w:p>
    <w:p w:rsidR="00247C78" w:rsidRPr="00B14D8E" w:rsidRDefault="009C0171">
      <w:pPr>
        <w:spacing w:line="720" w:lineRule="exact"/>
        <w:jc w:val="center"/>
        <w:rPr>
          <w:rFonts w:ascii="方正小标宋简体" w:eastAsia="方正小标宋简体" w:hAnsi="Times New Roman" w:cs="Times New Roman"/>
          <w:color w:val="000000" w:themeColor="text1"/>
          <w:sz w:val="44"/>
          <w:szCs w:val="44"/>
        </w:rPr>
      </w:pPr>
      <w:r w:rsidRPr="00B14D8E">
        <w:rPr>
          <w:rFonts w:ascii="方正小标宋简体" w:eastAsia="方正小标宋简体" w:hAnsi="Times New Roman" w:cs="Times New Roman" w:hint="eastAsia"/>
          <w:color w:val="000000" w:themeColor="text1"/>
          <w:sz w:val="44"/>
          <w:szCs w:val="44"/>
        </w:rPr>
        <w:t>和施工许可阶段办事指南</w:t>
      </w:r>
    </w:p>
    <w:p w:rsidR="00247C78" w:rsidRPr="00B14D8E" w:rsidRDefault="00247C78" w:rsidP="00B14D8E">
      <w:pPr>
        <w:ind w:firstLineChars="200" w:firstLine="624"/>
        <w:rPr>
          <w:rFonts w:ascii="Times New Roman" w:hAnsi="Times New Roman" w:cs="Times New Roman"/>
          <w:color w:val="000000" w:themeColor="text1"/>
          <w:szCs w:val="32"/>
        </w:rPr>
      </w:pPr>
    </w:p>
    <w:p w:rsidR="00247C78" w:rsidRPr="00B14D8E" w:rsidRDefault="009C0171" w:rsidP="00B14D8E">
      <w:pPr>
        <w:pStyle w:val="a0"/>
        <w:spacing w:before="0"/>
        <w:ind w:left="0" w:firstLineChars="200" w:firstLine="624"/>
        <w:jc w:val="both"/>
        <w:rPr>
          <w:rFonts w:ascii="Times New Roman" w:eastAsia="仿宋_GB2312" w:hAnsi="Times New Roman" w:cs="Times New Roman"/>
          <w:snapToGrid w:val="0"/>
          <w:color w:val="000000" w:themeColor="text1"/>
          <w:kern w:val="32"/>
          <w:lang w:eastAsia="zh-CN"/>
        </w:rPr>
      </w:pPr>
      <w:r w:rsidRPr="00B14D8E">
        <w:rPr>
          <w:rFonts w:ascii="Times New Roman" w:eastAsia="仿宋_GB2312" w:hAnsi="Times New Roman" w:cs="Times New Roman" w:hint="eastAsia"/>
          <w:snapToGrid w:val="0"/>
          <w:color w:val="000000" w:themeColor="text1"/>
          <w:kern w:val="32"/>
          <w:lang w:eastAsia="zh-CN"/>
        </w:rPr>
        <w:t>用地规划许可阶段</w:t>
      </w:r>
      <w:r w:rsidRPr="00B14D8E">
        <w:rPr>
          <w:rFonts w:ascii="Times New Roman" w:hAnsi="Times New Roman" w:cs="Times New Roman" w:hint="eastAsia"/>
          <w:snapToGrid w:val="0"/>
          <w:color w:val="000000" w:themeColor="text1"/>
          <w:kern w:val="32"/>
          <w:lang w:eastAsia="zh-CN"/>
        </w:rPr>
        <w:t>、</w:t>
      </w:r>
      <w:r w:rsidRPr="00B14D8E">
        <w:rPr>
          <w:rFonts w:ascii="Times New Roman" w:eastAsia="仿宋_GB2312" w:hAnsi="Times New Roman" w:cs="Times New Roman" w:hint="eastAsia"/>
          <w:snapToGrid w:val="0"/>
          <w:color w:val="000000" w:themeColor="text1"/>
          <w:kern w:val="32"/>
          <w:lang w:eastAsia="zh-CN"/>
        </w:rPr>
        <w:t>工程建设许可阶段和施工许可阶段，</w:t>
      </w:r>
      <w:r w:rsidRPr="00B14D8E">
        <w:rPr>
          <w:rFonts w:ascii="Times New Roman" w:eastAsia="仿宋_GB2312" w:hAnsi="Times New Roman" w:cs="Times New Roman"/>
          <w:snapToGrid w:val="0"/>
          <w:color w:val="000000" w:themeColor="text1"/>
          <w:kern w:val="32"/>
          <w:lang w:eastAsia="zh-CN"/>
        </w:rPr>
        <w:t>实行建设工程规划许可证核发、施工图设计文件审查（</w:t>
      </w:r>
      <w:r w:rsidRPr="00B14D8E">
        <w:rPr>
          <w:rFonts w:ascii="Times New Roman" w:eastAsia="仿宋_GB2312" w:hAnsi="Times New Roman" w:cs="Times New Roman" w:hint="eastAsia"/>
          <w:bCs/>
          <w:snapToGrid w:val="0"/>
          <w:color w:val="000000" w:themeColor="text1"/>
          <w:kern w:val="32"/>
          <w:lang w:eastAsia="zh-CN"/>
        </w:rPr>
        <w:t>含消防</w:t>
      </w:r>
      <w:r w:rsidRPr="00B14D8E">
        <w:rPr>
          <w:rFonts w:ascii="Times New Roman" w:eastAsia="仿宋_GB2312" w:hAnsi="Times New Roman" w:cs="Times New Roman"/>
          <w:snapToGrid w:val="0"/>
          <w:color w:val="000000" w:themeColor="text1"/>
          <w:kern w:val="32"/>
          <w:lang w:eastAsia="zh-CN"/>
        </w:rPr>
        <w:t>）、</w:t>
      </w:r>
      <w:r w:rsidRPr="00B14D8E">
        <w:rPr>
          <w:rFonts w:ascii="Times New Roman" w:eastAsia="仿宋_GB2312" w:hAnsi="Times New Roman" w:cs="Times New Roman" w:hint="eastAsia"/>
          <w:snapToGrid w:val="0"/>
          <w:color w:val="000000" w:themeColor="text1"/>
          <w:kern w:val="32"/>
          <w:lang w:eastAsia="zh-CN"/>
        </w:rPr>
        <w:t>建设工程质量安全监督手续办理和建筑工程施工许可证核发</w:t>
      </w:r>
      <w:r w:rsidRPr="00B14D8E">
        <w:rPr>
          <w:rFonts w:ascii="Times New Roman" w:eastAsia="仿宋_GB2312" w:hAnsi="Times New Roman" w:cs="Times New Roman"/>
          <w:snapToGrid w:val="0"/>
          <w:color w:val="000000" w:themeColor="text1"/>
          <w:kern w:val="32"/>
          <w:lang w:eastAsia="zh-CN"/>
        </w:rPr>
        <w:t>等审批事项并联办理，并按照法定前置手续在本指南规定的审批时限内依次发证，实现</w:t>
      </w:r>
      <w:r w:rsidRPr="00B14D8E">
        <w:rPr>
          <w:rFonts w:ascii="Times New Roman" w:eastAsia="仿宋_GB2312" w:hAnsi="Times New Roman" w:cs="Times New Roman"/>
          <w:snapToGrid w:val="0"/>
          <w:color w:val="000000" w:themeColor="text1"/>
          <w:kern w:val="32"/>
          <w:lang w:eastAsia="zh-CN"/>
        </w:rPr>
        <w:t>“</w:t>
      </w:r>
      <w:r w:rsidRPr="00B14D8E">
        <w:rPr>
          <w:rFonts w:ascii="Times New Roman" w:eastAsia="仿宋_GB2312" w:hAnsi="Times New Roman" w:cs="Times New Roman"/>
          <w:snapToGrid w:val="0"/>
          <w:color w:val="000000" w:themeColor="text1"/>
          <w:kern w:val="32"/>
          <w:lang w:eastAsia="zh-CN"/>
        </w:rPr>
        <w:t>一次申报、并联审批、依次发证</w:t>
      </w:r>
      <w:r w:rsidRPr="00B14D8E">
        <w:rPr>
          <w:rFonts w:ascii="Times New Roman" w:eastAsia="仿宋_GB2312" w:hAnsi="Times New Roman" w:cs="Times New Roman"/>
          <w:snapToGrid w:val="0"/>
          <w:color w:val="000000" w:themeColor="text1"/>
          <w:kern w:val="32"/>
          <w:lang w:eastAsia="zh-CN"/>
        </w:rPr>
        <w:t>”</w:t>
      </w:r>
      <w:r w:rsidRPr="00B14D8E">
        <w:rPr>
          <w:rFonts w:ascii="Times New Roman" w:eastAsia="仿宋_GB2312" w:hAnsi="Times New Roman" w:cs="Times New Roman"/>
          <w:snapToGrid w:val="0"/>
          <w:color w:val="000000" w:themeColor="text1"/>
          <w:kern w:val="32"/>
          <w:lang w:eastAsia="zh-CN"/>
        </w:rPr>
        <w:t>。</w:t>
      </w:r>
    </w:p>
    <w:p w:rsidR="00247C78" w:rsidRPr="00B14D8E" w:rsidRDefault="009C0171" w:rsidP="00B14D8E">
      <w:pPr>
        <w:ind w:firstLineChars="200" w:firstLine="624"/>
        <w:rPr>
          <w:rFonts w:ascii="Times New Roman" w:hAnsi="Times New Roman" w:cs="Times New Roman"/>
          <w:snapToGrid w:val="0"/>
          <w:color w:val="000000" w:themeColor="text1"/>
          <w:kern w:val="32"/>
          <w:szCs w:val="32"/>
        </w:rPr>
      </w:pPr>
      <w:r w:rsidRPr="00B14D8E">
        <w:rPr>
          <w:rFonts w:ascii="Times New Roman" w:hAnsi="Times New Roman" w:cs="Times New Roman"/>
          <w:snapToGrid w:val="0"/>
          <w:color w:val="000000" w:themeColor="text1"/>
          <w:kern w:val="32"/>
          <w:szCs w:val="32"/>
        </w:rPr>
        <w:t>建设工程规划许可证核发是施工图设计文件审查（</w:t>
      </w:r>
      <w:r w:rsidRPr="00B14D8E">
        <w:rPr>
          <w:rFonts w:ascii="Times New Roman" w:hAnsi="Times New Roman" w:cs="Times New Roman" w:hint="eastAsia"/>
          <w:bCs/>
          <w:snapToGrid w:val="0"/>
          <w:color w:val="000000" w:themeColor="text1"/>
          <w:kern w:val="32"/>
        </w:rPr>
        <w:t>含消防</w:t>
      </w:r>
      <w:r w:rsidRPr="00B14D8E">
        <w:rPr>
          <w:rFonts w:ascii="Times New Roman" w:hAnsi="Times New Roman" w:cs="Times New Roman"/>
          <w:snapToGrid w:val="0"/>
          <w:color w:val="000000" w:themeColor="text1"/>
          <w:kern w:val="32"/>
          <w:szCs w:val="32"/>
        </w:rPr>
        <w:t>）、</w:t>
      </w:r>
      <w:r w:rsidRPr="00B14D8E">
        <w:rPr>
          <w:rFonts w:ascii="Times New Roman" w:hAnsi="Times New Roman" w:cs="Times New Roman" w:hint="eastAsia"/>
          <w:snapToGrid w:val="0"/>
          <w:color w:val="000000" w:themeColor="text1"/>
          <w:kern w:val="32"/>
          <w:szCs w:val="32"/>
        </w:rPr>
        <w:t>建设工程质量安全监督手续办理和建筑工程施工许可证核发</w:t>
      </w:r>
      <w:r w:rsidRPr="00B14D8E">
        <w:rPr>
          <w:rFonts w:ascii="Times New Roman" w:hAnsi="Times New Roman" w:cs="Times New Roman"/>
          <w:snapToGrid w:val="0"/>
          <w:color w:val="000000" w:themeColor="text1"/>
          <w:kern w:val="32"/>
          <w:szCs w:val="32"/>
        </w:rPr>
        <w:t>的法定前置手续之一，如建设工程规划许可证核发不通过，则施工图设计文件审查（</w:t>
      </w:r>
      <w:r w:rsidRPr="00B14D8E">
        <w:rPr>
          <w:rFonts w:ascii="Times New Roman" w:hAnsi="Times New Roman" w:cs="Times New Roman" w:hint="eastAsia"/>
          <w:bCs/>
          <w:snapToGrid w:val="0"/>
          <w:color w:val="000000" w:themeColor="text1"/>
          <w:kern w:val="32"/>
        </w:rPr>
        <w:t>含消防</w:t>
      </w:r>
      <w:r w:rsidRPr="00B14D8E">
        <w:rPr>
          <w:rFonts w:ascii="Times New Roman" w:hAnsi="Times New Roman" w:cs="Times New Roman"/>
          <w:snapToGrid w:val="0"/>
          <w:color w:val="000000" w:themeColor="text1"/>
          <w:kern w:val="32"/>
          <w:szCs w:val="32"/>
        </w:rPr>
        <w:t>）、</w:t>
      </w:r>
      <w:r w:rsidRPr="00B14D8E">
        <w:rPr>
          <w:rFonts w:ascii="Times New Roman" w:hAnsi="Times New Roman" w:cs="Times New Roman" w:hint="eastAsia"/>
          <w:snapToGrid w:val="0"/>
          <w:color w:val="000000" w:themeColor="text1"/>
          <w:kern w:val="32"/>
          <w:szCs w:val="32"/>
        </w:rPr>
        <w:t>建设工程质量安全监督手续办理和建筑工程施工许可证核发</w:t>
      </w:r>
      <w:r w:rsidRPr="00B14D8E">
        <w:rPr>
          <w:rFonts w:ascii="Times New Roman" w:hAnsi="Times New Roman" w:cs="Times New Roman"/>
          <w:snapToGrid w:val="0"/>
          <w:color w:val="000000" w:themeColor="text1"/>
          <w:kern w:val="32"/>
          <w:szCs w:val="32"/>
        </w:rPr>
        <w:t>同步终止，本次并联申请不予许可，按办结处理，</w:t>
      </w:r>
      <w:r w:rsidRPr="00B14D8E">
        <w:rPr>
          <w:rFonts w:ascii="Times New Roman" w:hAnsi="Times New Roman" w:cs="Times New Roman" w:hint="eastAsia"/>
          <w:snapToGrid w:val="0"/>
          <w:color w:val="000000" w:themeColor="text1"/>
          <w:kern w:val="32"/>
          <w:szCs w:val="32"/>
        </w:rPr>
        <w:t>申请人</w:t>
      </w:r>
      <w:r w:rsidRPr="00B14D8E">
        <w:rPr>
          <w:rFonts w:ascii="Times New Roman" w:hAnsi="Times New Roman" w:cs="Times New Roman"/>
          <w:snapToGrid w:val="0"/>
          <w:color w:val="000000" w:themeColor="text1"/>
          <w:kern w:val="32"/>
          <w:szCs w:val="32"/>
        </w:rPr>
        <w:t>可在符合条件后重新申请并联审批。建设工程规划许可证核发通过，施工图设计文件审查（</w:t>
      </w:r>
      <w:r w:rsidRPr="00B14D8E">
        <w:rPr>
          <w:rFonts w:ascii="Times New Roman" w:hAnsi="Times New Roman" w:cs="Times New Roman" w:hint="eastAsia"/>
          <w:bCs/>
          <w:snapToGrid w:val="0"/>
          <w:color w:val="000000" w:themeColor="text1"/>
          <w:kern w:val="32"/>
        </w:rPr>
        <w:t>含消防</w:t>
      </w:r>
      <w:r w:rsidRPr="00B14D8E">
        <w:rPr>
          <w:rFonts w:ascii="Times New Roman" w:hAnsi="Times New Roman" w:cs="Times New Roman"/>
          <w:snapToGrid w:val="0"/>
          <w:color w:val="000000" w:themeColor="text1"/>
          <w:kern w:val="32"/>
          <w:szCs w:val="32"/>
        </w:rPr>
        <w:t>）或</w:t>
      </w:r>
      <w:r w:rsidRPr="00B14D8E">
        <w:rPr>
          <w:rFonts w:ascii="Times New Roman" w:hAnsi="Times New Roman" w:cs="Times New Roman" w:hint="eastAsia"/>
          <w:snapToGrid w:val="0"/>
          <w:color w:val="000000" w:themeColor="text1"/>
          <w:kern w:val="32"/>
          <w:szCs w:val="32"/>
        </w:rPr>
        <w:t>建设工程质量安全监督手续办理和建筑工程施工许可证核发</w:t>
      </w:r>
      <w:r w:rsidRPr="00B14D8E">
        <w:rPr>
          <w:rFonts w:ascii="Times New Roman" w:hAnsi="Times New Roman" w:cs="Times New Roman"/>
          <w:snapToGrid w:val="0"/>
          <w:color w:val="000000" w:themeColor="text1"/>
          <w:kern w:val="32"/>
          <w:szCs w:val="32"/>
        </w:rPr>
        <w:t>不通过，本次并联申请不予许可，按办结处理。</w:t>
      </w:r>
      <w:r w:rsidRPr="00B14D8E">
        <w:rPr>
          <w:rFonts w:ascii="Times New Roman" w:hAnsi="Times New Roman" w:cs="Times New Roman" w:hint="eastAsia"/>
          <w:snapToGrid w:val="0"/>
          <w:color w:val="000000" w:themeColor="text1"/>
          <w:kern w:val="32"/>
          <w:szCs w:val="32"/>
        </w:rPr>
        <w:t>申请人</w:t>
      </w:r>
      <w:r w:rsidRPr="00B14D8E">
        <w:rPr>
          <w:rFonts w:ascii="Times New Roman" w:hAnsi="Times New Roman" w:cs="Times New Roman"/>
          <w:snapToGrid w:val="0"/>
          <w:color w:val="000000" w:themeColor="text1"/>
          <w:kern w:val="32"/>
          <w:szCs w:val="32"/>
        </w:rPr>
        <w:t>可在符合条件后重新申请并联审批，再次申报时无需申请办理建设工程</w:t>
      </w:r>
      <w:r w:rsidRPr="00B14D8E">
        <w:rPr>
          <w:rFonts w:ascii="Times New Roman" w:hAnsi="Times New Roman" w:cs="Times New Roman"/>
          <w:snapToGrid w:val="0"/>
          <w:color w:val="000000" w:themeColor="text1"/>
          <w:kern w:val="32"/>
          <w:szCs w:val="32"/>
        </w:rPr>
        <w:lastRenderedPageBreak/>
        <w:t>规划许可证核发，在系统上勾选</w:t>
      </w:r>
      <w:r w:rsidRPr="00B14D8E">
        <w:rPr>
          <w:rFonts w:ascii="Times New Roman" w:hAnsi="Times New Roman" w:cs="Times New Roman"/>
          <w:snapToGrid w:val="0"/>
          <w:color w:val="000000" w:themeColor="text1"/>
          <w:kern w:val="32"/>
          <w:szCs w:val="32"/>
        </w:rPr>
        <w:t>“</w:t>
      </w:r>
      <w:r w:rsidRPr="00B14D8E">
        <w:rPr>
          <w:rFonts w:ascii="Times New Roman" w:hAnsi="Times New Roman" w:cs="Times New Roman"/>
          <w:snapToGrid w:val="0"/>
          <w:color w:val="000000" w:themeColor="text1"/>
          <w:kern w:val="32"/>
          <w:szCs w:val="32"/>
        </w:rPr>
        <w:t>已取得建设工程规划许可证</w:t>
      </w:r>
      <w:r w:rsidRPr="00B14D8E">
        <w:rPr>
          <w:rFonts w:ascii="Times New Roman" w:hAnsi="Times New Roman" w:cs="Times New Roman"/>
          <w:snapToGrid w:val="0"/>
          <w:color w:val="000000" w:themeColor="text1"/>
          <w:kern w:val="32"/>
          <w:szCs w:val="32"/>
        </w:rPr>
        <w:t>”</w:t>
      </w:r>
      <w:r w:rsidRPr="00B14D8E">
        <w:rPr>
          <w:rFonts w:ascii="Times New Roman" w:hAnsi="Times New Roman" w:cs="Times New Roman"/>
          <w:snapToGrid w:val="0"/>
          <w:color w:val="000000" w:themeColor="text1"/>
          <w:kern w:val="32"/>
          <w:szCs w:val="32"/>
        </w:rPr>
        <w:t>，由住房城乡建设部门通过</w:t>
      </w:r>
      <w:r w:rsidRPr="00B14D8E">
        <w:rPr>
          <w:rFonts w:ascii="Times New Roman" w:hAnsi="Times New Roman" w:cs="Times New Roman"/>
          <w:snapToGrid w:val="0"/>
          <w:color w:val="000000" w:themeColor="text1"/>
          <w:kern w:val="32"/>
          <w:szCs w:val="32"/>
        </w:rPr>
        <w:t>“</w:t>
      </w:r>
      <w:r w:rsidRPr="00B14D8E">
        <w:rPr>
          <w:rFonts w:ascii="Times New Roman" w:hAnsi="Times New Roman" w:cs="Times New Roman"/>
          <w:snapToGrid w:val="0"/>
          <w:color w:val="000000" w:themeColor="text1"/>
          <w:kern w:val="32"/>
          <w:szCs w:val="32"/>
        </w:rPr>
        <w:t>工程审批系统</w:t>
      </w:r>
      <w:r w:rsidRPr="00B14D8E">
        <w:rPr>
          <w:rFonts w:ascii="Times New Roman" w:hAnsi="Times New Roman" w:cs="Times New Roman"/>
          <w:snapToGrid w:val="0"/>
          <w:color w:val="000000" w:themeColor="text1"/>
          <w:kern w:val="32"/>
          <w:szCs w:val="32"/>
        </w:rPr>
        <w:t>”</w:t>
      </w:r>
      <w:r w:rsidRPr="00B14D8E">
        <w:rPr>
          <w:rFonts w:ascii="Times New Roman" w:hAnsi="Times New Roman" w:cs="Times New Roman"/>
          <w:snapToGrid w:val="0"/>
          <w:color w:val="000000" w:themeColor="text1"/>
          <w:kern w:val="32"/>
          <w:szCs w:val="32"/>
        </w:rPr>
        <w:t>获取相应证照，在本指南规定时限内办理施工图设计文件审查（</w:t>
      </w:r>
      <w:r w:rsidRPr="00B14D8E">
        <w:rPr>
          <w:rFonts w:ascii="Times New Roman" w:hAnsi="Times New Roman" w:cs="Times New Roman" w:hint="eastAsia"/>
          <w:bCs/>
          <w:snapToGrid w:val="0"/>
          <w:color w:val="000000" w:themeColor="text1"/>
          <w:kern w:val="32"/>
        </w:rPr>
        <w:t>含消防</w:t>
      </w:r>
      <w:r w:rsidRPr="00B14D8E">
        <w:rPr>
          <w:rFonts w:ascii="Times New Roman" w:hAnsi="Times New Roman" w:cs="Times New Roman"/>
          <w:snapToGrid w:val="0"/>
          <w:color w:val="000000" w:themeColor="text1"/>
          <w:kern w:val="32"/>
          <w:szCs w:val="32"/>
        </w:rPr>
        <w:t>）、</w:t>
      </w:r>
      <w:r w:rsidRPr="00B14D8E">
        <w:rPr>
          <w:rFonts w:ascii="Times New Roman" w:hAnsi="Times New Roman" w:cs="Times New Roman" w:hint="eastAsia"/>
          <w:snapToGrid w:val="0"/>
          <w:color w:val="000000" w:themeColor="text1"/>
          <w:kern w:val="32"/>
          <w:szCs w:val="32"/>
        </w:rPr>
        <w:t>建设工程质量安全监督手续办理和建筑工程施工许可证核发</w:t>
      </w:r>
      <w:r w:rsidRPr="00B14D8E">
        <w:rPr>
          <w:rFonts w:ascii="Times New Roman" w:hAnsi="Times New Roman" w:cs="Times New Roman"/>
          <w:snapToGrid w:val="0"/>
          <w:color w:val="000000" w:themeColor="text1"/>
          <w:kern w:val="32"/>
          <w:szCs w:val="32"/>
        </w:rPr>
        <w:t>审批。</w:t>
      </w:r>
    </w:p>
    <w:p w:rsidR="00247C78" w:rsidRPr="00B14D8E" w:rsidRDefault="009C0171" w:rsidP="00B14D8E">
      <w:pPr>
        <w:ind w:firstLineChars="200" w:firstLine="624"/>
        <w:rPr>
          <w:rFonts w:ascii="Times New Roman" w:hAnsi="Times New Roman" w:cs="Times New Roman"/>
          <w:snapToGrid w:val="0"/>
          <w:color w:val="000000" w:themeColor="text1"/>
          <w:kern w:val="32"/>
          <w:szCs w:val="32"/>
        </w:rPr>
      </w:pPr>
      <w:r w:rsidRPr="00B14D8E">
        <w:rPr>
          <w:rFonts w:ascii="Times New Roman" w:hAnsi="Times New Roman" w:cs="Times New Roman"/>
          <w:snapToGrid w:val="0"/>
          <w:color w:val="000000" w:themeColor="text1"/>
          <w:kern w:val="32"/>
          <w:szCs w:val="32"/>
        </w:rPr>
        <w:t>施工图设计文件审查（</w:t>
      </w:r>
      <w:r w:rsidRPr="00B14D8E">
        <w:rPr>
          <w:rFonts w:ascii="Times New Roman" w:hAnsi="Times New Roman" w:cs="Times New Roman" w:hint="eastAsia"/>
          <w:bCs/>
          <w:snapToGrid w:val="0"/>
          <w:color w:val="000000" w:themeColor="text1"/>
          <w:kern w:val="32"/>
        </w:rPr>
        <w:t>含消防</w:t>
      </w:r>
      <w:r w:rsidRPr="00B14D8E">
        <w:rPr>
          <w:rFonts w:ascii="Times New Roman" w:hAnsi="Times New Roman" w:cs="Times New Roman"/>
          <w:snapToGrid w:val="0"/>
          <w:color w:val="000000" w:themeColor="text1"/>
          <w:kern w:val="32"/>
          <w:szCs w:val="32"/>
        </w:rPr>
        <w:t>）是</w:t>
      </w:r>
      <w:r w:rsidRPr="00B14D8E">
        <w:rPr>
          <w:rFonts w:ascii="Times New Roman" w:hAnsi="Times New Roman" w:cs="Times New Roman" w:hint="eastAsia"/>
          <w:snapToGrid w:val="0"/>
          <w:color w:val="000000" w:themeColor="text1"/>
          <w:kern w:val="32"/>
          <w:szCs w:val="32"/>
        </w:rPr>
        <w:t>建设工程质量安全监督手续办理和建筑工程施工许可证核发</w:t>
      </w:r>
      <w:r w:rsidRPr="00B14D8E">
        <w:rPr>
          <w:rFonts w:ascii="Times New Roman" w:hAnsi="Times New Roman" w:cs="Times New Roman"/>
          <w:snapToGrid w:val="0"/>
          <w:color w:val="000000" w:themeColor="text1"/>
          <w:kern w:val="32"/>
          <w:szCs w:val="32"/>
        </w:rPr>
        <w:t>的法定前置手续之一，如施工图设计文件审查（</w:t>
      </w:r>
      <w:r w:rsidRPr="00B14D8E">
        <w:rPr>
          <w:rFonts w:ascii="Times New Roman" w:hAnsi="Times New Roman" w:cs="Times New Roman" w:hint="eastAsia"/>
          <w:bCs/>
          <w:snapToGrid w:val="0"/>
          <w:color w:val="000000" w:themeColor="text1"/>
          <w:kern w:val="32"/>
        </w:rPr>
        <w:t>含消防</w:t>
      </w:r>
      <w:r w:rsidRPr="00B14D8E">
        <w:rPr>
          <w:rFonts w:ascii="Times New Roman" w:hAnsi="Times New Roman" w:cs="Times New Roman"/>
          <w:snapToGrid w:val="0"/>
          <w:color w:val="000000" w:themeColor="text1"/>
          <w:kern w:val="32"/>
          <w:szCs w:val="32"/>
        </w:rPr>
        <w:t>）不通过，则</w:t>
      </w:r>
      <w:r w:rsidRPr="00B14D8E">
        <w:rPr>
          <w:rFonts w:ascii="Times New Roman" w:hAnsi="Times New Roman" w:cs="Times New Roman" w:hint="eastAsia"/>
          <w:snapToGrid w:val="0"/>
          <w:color w:val="000000" w:themeColor="text1"/>
          <w:kern w:val="32"/>
          <w:szCs w:val="32"/>
        </w:rPr>
        <w:t>建设工程质量安全监督手续办理和建筑工程施工许可证核发</w:t>
      </w:r>
      <w:r w:rsidRPr="00B14D8E">
        <w:rPr>
          <w:rFonts w:ascii="Times New Roman" w:hAnsi="Times New Roman" w:cs="Times New Roman"/>
          <w:snapToGrid w:val="0"/>
          <w:color w:val="000000" w:themeColor="text1"/>
          <w:kern w:val="32"/>
          <w:szCs w:val="32"/>
        </w:rPr>
        <w:t>同步终止，本次并联申请不予许可，按办结处理，</w:t>
      </w:r>
      <w:r w:rsidRPr="00B14D8E">
        <w:rPr>
          <w:rFonts w:ascii="Times New Roman" w:hAnsi="Times New Roman" w:cs="Times New Roman" w:hint="eastAsia"/>
          <w:snapToGrid w:val="0"/>
          <w:color w:val="000000" w:themeColor="text1"/>
          <w:kern w:val="32"/>
          <w:szCs w:val="32"/>
        </w:rPr>
        <w:t>申请人</w:t>
      </w:r>
      <w:r w:rsidRPr="00B14D8E">
        <w:rPr>
          <w:rFonts w:ascii="Times New Roman" w:hAnsi="Times New Roman" w:cs="Times New Roman"/>
          <w:snapToGrid w:val="0"/>
          <w:color w:val="000000" w:themeColor="text1"/>
          <w:kern w:val="32"/>
          <w:szCs w:val="32"/>
        </w:rPr>
        <w:t>可在符合条件后重新申请并联审批。施工图设计文件审查（</w:t>
      </w:r>
      <w:r w:rsidRPr="00B14D8E">
        <w:rPr>
          <w:rFonts w:ascii="Times New Roman" w:hAnsi="Times New Roman" w:cs="Times New Roman" w:hint="eastAsia"/>
          <w:bCs/>
          <w:snapToGrid w:val="0"/>
          <w:color w:val="000000" w:themeColor="text1"/>
          <w:kern w:val="32"/>
        </w:rPr>
        <w:t>含消防</w:t>
      </w:r>
      <w:r w:rsidRPr="00B14D8E">
        <w:rPr>
          <w:rFonts w:ascii="Times New Roman" w:hAnsi="Times New Roman" w:cs="Times New Roman"/>
          <w:snapToGrid w:val="0"/>
          <w:color w:val="000000" w:themeColor="text1"/>
          <w:kern w:val="32"/>
          <w:szCs w:val="32"/>
        </w:rPr>
        <w:t>）通过，</w:t>
      </w:r>
      <w:r w:rsidRPr="00B14D8E">
        <w:rPr>
          <w:rFonts w:ascii="Times New Roman" w:hAnsi="Times New Roman" w:cs="Times New Roman" w:hint="eastAsia"/>
          <w:snapToGrid w:val="0"/>
          <w:color w:val="000000" w:themeColor="text1"/>
          <w:kern w:val="32"/>
          <w:szCs w:val="32"/>
        </w:rPr>
        <w:t>建设工程质量安全监督手续办理和建筑工程施工许可证核发</w:t>
      </w:r>
      <w:r w:rsidRPr="00B14D8E">
        <w:rPr>
          <w:rFonts w:ascii="Times New Roman" w:hAnsi="Times New Roman" w:cs="Times New Roman"/>
          <w:snapToGrid w:val="0"/>
          <w:color w:val="000000" w:themeColor="text1"/>
          <w:kern w:val="32"/>
          <w:szCs w:val="32"/>
        </w:rPr>
        <w:t>不通过，本次并联申请不予许可，按办结处理。</w:t>
      </w:r>
      <w:r w:rsidRPr="00B14D8E">
        <w:rPr>
          <w:rFonts w:ascii="Times New Roman" w:hAnsi="Times New Roman" w:cs="Times New Roman" w:hint="eastAsia"/>
          <w:snapToGrid w:val="0"/>
          <w:color w:val="000000" w:themeColor="text1"/>
          <w:kern w:val="32"/>
          <w:szCs w:val="32"/>
        </w:rPr>
        <w:t>申请人</w:t>
      </w:r>
      <w:r w:rsidRPr="00B14D8E">
        <w:rPr>
          <w:rFonts w:ascii="Times New Roman" w:hAnsi="Times New Roman" w:cs="Times New Roman"/>
          <w:snapToGrid w:val="0"/>
          <w:color w:val="000000" w:themeColor="text1"/>
          <w:kern w:val="32"/>
          <w:szCs w:val="32"/>
        </w:rPr>
        <w:t>可在符合条件后重新申请并联审批，再次申报时无需申请办理施工图设计文件审查（</w:t>
      </w:r>
      <w:r w:rsidRPr="00B14D8E">
        <w:rPr>
          <w:rFonts w:ascii="Times New Roman" w:hAnsi="Times New Roman" w:cs="Times New Roman" w:hint="eastAsia"/>
          <w:bCs/>
          <w:snapToGrid w:val="0"/>
          <w:color w:val="000000" w:themeColor="text1"/>
          <w:kern w:val="32"/>
        </w:rPr>
        <w:t>含消防</w:t>
      </w:r>
      <w:r w:rsidRPr="00B14D8E">
        <w:rPr>
          <w:rFonts w:ascii="Times New Roman" w:hAnsi="Times New Roman" w:cs="Times New Roman"/>
          <w:snapToGrid w:val="0"/>
          <w:color w:val="000000" w:themeColor="text1"/>
          <w:kern w:val="32"/>
          <w:szCs w:val="32"/>
        </w:rPr>
        <w:t>），在系统上勾选</w:t>
      </w:r>
      <w:r w:rsidRPr="00B14D8E">
        <w:rPr>
          <w:rFonts w:ascii="Times New Roman" w:hAnsi="Times New Roman" w:cs="Times New Roman"/>
          <w:snapToGrid w:val="0"/>
          <w:color w:val="000000" w:themeColor="text1"/>
          <w:kern w:val="32"/>
          <w:szCs w:val="32"/>
        </w:rPr>
        <w:t>“</w:t>
      </w:r>
      <w:r w:rsidRPr="00B14D8E">
        <w:rPr>
          <w:rFonts w:ascii="Times New Roman" w:hAnsi="Times New Roman" w:cs="Times New Roman"/>
          <w:snapToGrid w:val="0"/>
          <w:color w:val="000000" w:themeColor="text1"/>
          <w:kern w:val="32"/>
          <w:szCs w:val="32"/>
        </w:rPr>
        <w:t>已通过施工图设计文件审查（</w:t>
      </w:r>
      <w:r w:rsidRPr="00B14D8E">
        <w:rPr>
          <w:rFonts w:ascii="Times New Roman" w:hAnsi="Times New Roman" w:cs="Times New Roman" w:hint="eastAsia"/>
          <w:bCs/>
          <w:snapToGrid w:val="0"/>
          <w:color w:val="000000" w:themeColor="text1"/>
          <w:kern w:val="32"/>
        </w:rPr>
        <w:t>含消防</w:t>
      </w:r>
      <w:bookmarkStart w:id="0" w:name="_GoBack"/>
      <w:bookmarkEnd w:id="0"/>
      <w:r w:rsidRPr="00B14D8E">
        <w:rPr>
          <w:rFonts w:ascii="Times New Roman" w:hAnsi="Times New Roman" w:cs="Times New Roman"/>
          <w:snapToGrid w:val="0"/>
          <w:color w:val="000000" w:themeColor="text1"/>
          <w:kern w:val="32"/>
          <w:szCs w:val="32"/>
        </w:rPr>
        <w:t>）</w:t>
      </w:r>
      <w:r w:rsidRPr="00B14D8E">
        <w:rPr>
          <w:rFonts w:ascii="Times New Roman" w:hAnsi="Times New Roman" w:cs="Times New Roman"/>
          <w:snapToGrid w:val="0"/>
          <w:color w:val="000000" w:themeColor="text1"/>
          <w:kern w:val="32"/>
          <w:szCs w:val="32"/>
        </w:rPr>
        <w:t>”</w:t>
      </w:r>
      <w:r w:rsidRPr="00B14D8E">
        <w:rPr>
          <w:rFonts w:ascii="Times New Roman" w:hAnsi="Times New Roman" w:cs="Times New Roman"/>
          <w:snapToGrid w:val="0"/>
          <w:color w:val="000000" w:themeColor="text1"/>
          <w:kern w:val="32"/>
          <w:szCs w:val="32"/>
        </w:rPr>
        <w:t>，由住房城乡建设部门通过</w:t>
      </w:r>
      <w:r w:rsidRPr="00B14D8E">
        <w:rPr>
          <w:rFonts w:ascii="Times New Roman" w:hAnsi="Times New Roman" w:cs="Times New Roman"/>
          <w:snapToGrid w:val="0"/>
          <w:color w:val="000000" w:themeColor="text1"/>
          <w:kern w:val="32"/>
          <w:szCs w:val="32"/>
        </w:rPr>
        <w:t>“</w:t>
      </w:r>
      <w:r w:rsidRPr="00B14D8E">
        <w:rPr>
          <w:rFonts w:ascii="Times New Roman" w:hAnsi="Times New Roman" w:cs="Times New Roman"/>
          <w:snapToGrid w:val="0"/>
          <w:color w:val="000000" w:themeColor="text1"/>
          <w:kern w:val="32"/>
          <w:szCs w:val="32"/>
        </w:rPr>
        <w:t>工程审批系统</w:t>
      </w:r>
      <w:r w:rsidRPr="00B14D8E">
        <w:rPr>
          <w:rFonts w:ascii="Times New Roman" w:hAnsi="Times New Roman" w:cs="Times New Roman"/>
          <w:snapToGrid w:val="0"/>
          <w:color w:val="000000" w:themeColor="text1"/>
          <w:kern w:val="32"/>
          <w:szCs w:val="32"/>
        </w:rPr>
        <w:t>”</w:t>
      </w:r>
      <w:r w:rsidRPr="00B14D8E">
        <w:rPr>
          <w:rFonts w:ascii="Times New Roman" w:hAnsi="Times New Roman" w:cs="Times New Roman"/>
          <w:snapToGrid w:val="0"/>
          <w:color w:val="000000" w:themeColor="text1"/>
          <w:kern w:val="32"/>
          <w:szCs w:val="32"/>
        </w:rPr>
        <w:t>获取相应证照，在本指南规定时限内办理</w:t>
      </w:r>
      <w:r w:rsidRPr="00B14D8E">
        <w:rPr>
          <w:rFonts w:ascii="Times New Roman" w:hAnsi="Times New Roman" w:cs="Times New Roman" w:hint="eastAsia"/>
          <w:snapToGrid w:val="0"/>
          <w:color w:val="000000" w:themeColor="text1"/>
          <w:kern w:val="32"/>
          <w:szCs w:val="32"/>
        </w:rPr>
        <w:t>建设工程质量安全监督手续办理和建筑工程施工许可证核发</w:t>
      </w:r>
      <w:r w:rsidRPr="00B14D8E">
        <w:rPr>
          <w:rFonts w:ascii="Times New Roman" w:hAnsi="Times New Roman" w:cs="Times New Roman"/>
          <w:snapToGrid w:val="0"/>
          <w:color w:val="000000" w:themeColor="text1"/>
          <w:kern w:val="32"/>
          <w:szCs w:val="32"/>
        </w:rPr>
        <w:t>审批。</w:t>
      </w:r>
    </w:p>
    <w:p w:rsidR="00247C78" w:rsidRPr="00B14D8E" w:rsidRDefault="009C0171" w:rsidP="00B14D8E">
      <w:pPr>
        <w:ind w:firstLineChars="200" w:firstLine="624"/>
        <w:rPr>
          <w:rFonts w:ascii="Times New Roman" w:hAnsi="Times New Roman" w:cs="Times New Roman"/>
          <w:snapToGrid w:val="0"/>
          <w:color w:val="000000" w:themeColor="text1"/>
          <w:kern w:val="32"/>
          <w:szCs w:val="32"/>
        </w:rPr>
      </w:pPr>
      <w:r w:rsidRPr="00B14D8E">
        <w:rPr>
          <w:rFonts w:ascii="Times New Roman" w:hAnsi="Times New Roman" w:cs="Times New Roman" w:hint="eastAsia"/>
          <w:bCs/>
          <w:snapToGrid w:val="0"/>
          <w:color w:val="000000" w:themeColor="text1"/>
          <w:kern w:val="32"/>
          <w:szCs w:val="32"/>
        </w:rPr>
        <w:t>如属地自然资源主管部门明确既有住宅加装电梯项目无需办理建设工程规划许可证，则建设工程规划许可证核发事项无需申报。在申请办理后续审批事项时无需提交建设工程规划许可证。</w:t>
      </w:r>
    </w:p>
    <w:p w:rsidR="00247C78" w:rsidRPr="00B14D8E" w:rsidRDefault="009C0171" w:rsidP="00B14D8E">
      <w:pPr>
        <w:ind w:firstLineChars="200" w:firstLine="624"/>
        <w:rPr>
          <w:rFonts w:ascii="Times New Roman" w:hAnsi="Times New Roman" w:cs="Times New Roman"/>
          <w:snapToGrid w:val="0"/>
          <w:color w:val="000000" w:themeColor="text1"/>
          <w:kern w:val="32"/>
          <w:szCs w:val="32"/>
        </w:rPr>
      </w:pPr>
      <w:r w:rsidRPr="00B14D8E">
        <w:rPr>
          <w:rFonts w:ascii="Times New Roman" w:hAnsi="Times New Roman" w:cs="Times New Roman"/>
          <w:snapToGrid w:val="0"/>
          <w:color w:val="000000" w:themeColor="text1"/>
          <w:kern w:val="32"/>
          <w:szCs w:val="32"/>
        </w:rPr>
        <w:t>以下事项可在用地规划许可阶段、工程建设许可阶段和施</w:t>
      </w:r>
      <w:r w:rsidRPr="00B14D8E">
        <w:rPr>
          <w:rFonts w:ascii="Times New Roman" w:hAnsi="Times New Roman" w:cs="Times New Roman"/>
          <w:snapToGrid w:val="0"/>
          <w:color w:val="000000" w:themeColor="text1"/>
          <w:kern w:val="32"/>
          <w:szCs w:val="32"/>
        </w:rPr>
        <w:lastRenderedPageBreak/>
        <w:t>工许可阶段并联或并行办理：</w:t>
      </w:r>
    </w:p>
    <w:p w:rsidR="00247C78" w:rsidRPr="00B14D8E" w:rsidRDefault="009C0171" w:rsidP="00B14D8E">
      <w:pPr>
        <w:pStyle w:val="a0"/>
        <w:spacing w:before="0"/>
        <w:ind w:left="0" w:firstLineChars="200" w:firstLine="624"/>
        <w:jc w:val="both"/>
        <w:rPr>
          <w:rFonts w:ascii="Times New Roman" w:eastAsia="仿宋_GB2312" w:hAnsi="Times New Roman" w:cs="Times New Roman"/>
          <w:snapToGrid w:val="0"/>
          <w:color w:val="000000" w:themeColor="text1"/>
          <w:kern w:val="32"/>
          <w:lang w:eastAsia="zh-CN"/>
        </w:rPr>
      </w:pPr>
      <w:r w:rsidRPr="00B14D8E">
        <w:rPr>
          <w:rFonts w:ascii="Times New Roman" w:eastAsia="仿宋_GB2312" w:hAnsi="Times New Roman" w:cs="Times New Roman"/>
          <w:snapToGrid w:val="0"/>
          <w:color w:val="000000" w:themeColor="text1"/>
          <w:kern w:val="32"/>
          <w:lang w:eastAsia="zh-CN"/>
        </w:rPr>
        <w:t>工程建设涉及城市绿地、树木审批事项，因工程建设需要拆除、改动、迁移供水、排水与污水处理设施审核事项，</w:t>
      </w:r>
      <w:r w:rsidRPr="00B14D8E">
        <w:rPr>
          <w:rFonts w:ascii="Times New Roman" w:eastAsia="仿宋_GB2312" w:hAnsi="Times New Roman" w:cs="Times New Roman" w:hint="eastAsia"/>
          <w:snapToGrid w:val="0"/>
          <w:color w:val="000000" w:themeColor="text1"/>
          <w:kern w:val="32"/>
          <w:lang w:eastAsia="zh-CN"/>
        </w:rPr>
        <w:t>申请人</w:t>
      </w:r>
      <w:r w:rsidRPr="00B14D8E">
        <w:rPr>
          <w:rFonts w:ascii="Times New Roman" w:eastAsia="仿宋_GB2312" w:hAnsi="Times New Roman" w:cs="Times New Roman"/>
          <w:snapToGrid w:val="0"/>
          <w:color w:val="000000" w:themeColor="text1"/>
          <w:kern w:val="32"/>
          <w:lang w:eastAsia="zh-CN"/>
        </w:rPr>
        <w:t>在相应工程内容动工前办理完成即可。</w:t>
      </w:r>
    </w:p>
    <w:sectPr w:rsidR="00247C78" w:rsidRPr="00B14D8E" w:rsidSect="00B14D8E">
      <w:footerReference w:type="even" r:id="rId7"/>
      <w:footerReference w:type="default" r:id="rId8"/>
      <w:type w:val="continuous"/>
      <w:pgSz w:w="11907" w:h="16840" w:code="9"/>
      <w:pgMar w:top="2098" w:right="1588" w:bottom="2098" w:left="1588" w:header="1701" w:footer="1701" w:gutter="0"/>
      <w:pgNumType w:start="14"/>
      <w:cols w:space="720"/>
      <w:docGrid w:type="linesAndChars" w:linePitch="574" w:charSpace="-168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7C78" w:rsidRDefault="00247C78" w:rsidP="00247C78">
      <w:r>
        <w:separator/>
      </w:r>
    </w:p>
  </w:endnote>
  <w:endnote w:type="continuationSeparator" w:id="1">
    <w:p w:rsidR="00247C78" w:rsidRDefault="00247C78" w:rsidP="00247C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C78" w:rsidRDefault="009E1B12">
    <w:pPr>
      <w:pStyle w:val="a7"/>
      <w:ind w:leftChars="100" w:left="320"/>
    </w:pPr>
    <w:sdt>
      <w:sdtPr>
        <w:id w:val="29386013"/>
      </w:sdtPr>
      <w:sdtEndPr>
        <w:rPr>
          <w:rFonts w:ascii="宋体" w:eastAsia="宋体" w:hAnsi="宋体"/>
          <w:sz w:val="28"/>
          <w:szCs w:val="28"/>
        </w:rPr>
      </w:sdtEndPr>
      <w:sdtContent>
        <w:r w:rsidR="009C0171">
          <w:rPr>
            <w:rFonts w:ascii="宋体" w:eastAsia="宋体" w:hAnsi="宋体" w:hint="eastAsia"/>
            <w:sz w:val="28"/>
            <w:szCs w:val="28"/>
          </w:rPr>
          <w:t>—</w:t>
        </w:r>
        <w:r>
          <w:rPr>
            <w:rFonts w:ascii="宋体" w:eastAsia="宋体" w:hAnsi="宋体"/>
            <w:sz w:val="28"/>
            <w:szCs w:val="28"/>
          </w:rPr>
          <w:fldChar w:fldCharType="begin"/>
        </w:r>
        <w:r w:rsidR="009C0171">
          <w:rPr>
            <w:rFonts w:ascii="宋体" w:eastAsia="宋体" w:hAnsi="宋体"/>
            <w:sz w:val="28"/>
            <w:szCs w:val="28"/>
          </w:rPr>
          <w:instrText xml:space="preserve"> PAGE   \* MERGEFORMAT </w:instrText>
        </w:r>
        <w:r>
          <w:rPr>
            <w:rFonts w:ascii="宋体" w:eastAsia="宋体" w:hAnsi="宋体"/>
            <w:sz w:val="28"/>
            <w:szCs w:val="28"/>
          </w:rPr>
          <w:fldChar w:fldCharType="separate"/>
        </w:r>
        <w:r w:rsidR="00671010" w:rsidRPr="00671010">
          <w:rPr>
            <w:rFonts w:ascii="宋体" w:eastAsia="宋体" w:hAnsi="宋体"/>
            <w:noProof/>
            <w:sz w:val="28"/>
            <w:szCs w:val="28"/>
            <w:lang w:val="zh-CN"/>
          </w:rPr>
          <w:t>16</w:t>
        </w:r>
        <w:r>
          <w:rPr>
            <w:rFonts w:ascii="宋体" w:eastAsia="宋体" w:hAnsi="宋体"/>
            <w:sz w:val="28"/>
            <w:szCs w:val="28"/>
          </w:rPr>
          <w:fldChar w:fldCharType="end"/>
        </w:r>
      </w:sdtContent>
    </w:sdt>
    <w:r w:rsidR="009C0171">
      <w:rPr>
        <w:rFonts w:ascii="宋体" w:eastAsia="宋体" w:hAnsi="宋体" w:hint="eastAsia"/>
        <w:sz w:val="28"/>
        <w:szCs w:val="2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4D8E" w:rsidRDefault="00B14D8E" w:rsidP="00B14D8E">
    <w:pPr>
      <w:pStyle w:val="a7"/>
      <w:snapToGrid/>
      <w:ind w:leftChars="100" w:left="320" w:rightChars="100" w:right="320"/>
      <w:jc w:val="right"/>
    </w:pPr>
    <w:r w:rsidRPr="00B14D8E">
      <w:rPr>
        <w:rFonts w:asciiTheme="minorEastAsia" w:eastAsiaTheme="minorEastAsia" w:hAnsiTheme="minorEastAsia" w:hint="eastAsia"/>
        <w:sz w:val="28"/>
        <w:szCs w:val="28"/>
      </w:rPr>
      <w:t xml:space="preserve">— </w:t>
    </w:r>
    <w:sdt>
      <w:sdtPr>
        <w:rPr>
          <w:rFonts w:asciiTheme="minorEastAsia" w:eastAsiaTheme="minorEastAsia" w:hAnsiTheme="minorEastAsia"/>
          <w:sz w:val="28"/>
          <w:szCs w:val="28"/>
        </w:rPr>
        <w:id w:val="3914099"/>
        <w:docPartObj>
          <w:docPartGallery w:val="Page Numbers (Bottom of Page)"/>
          <w:docPartUnique/>
        </w:docPartObj>
      </w:sdtPr>
      <w:sdtEndPr>
        <w:rPr>
          <w:rFonts w:ascii="Calibri" w:eastAsia="仿宋_GB2312" w:hAnsi="Calibri"/>
          <w:sz w:val="18"/>
          <w:szCs w:val="18"/>
        </w:rPr>
      </w:sdtEndPr>
      <w:sdtContent>
        <w:r w:rsidR="009E1B12" w:rsidRPr="00B14D8E">
          <w:rPr>
            <w:rFonts w:asciiTheme="minorEastAsia" w:eastAsiaTheme="minorEastAsia" w:hAnsiTheme="minorEastAsia"/>
            <w:sz w:val="28"/>
            <w:szCs w:val="28"/>
          </w:rPr>
          <w:fldChar w:fldCharType="begin"/>
        </w:r>
        <w:r w:rsidRPr="00B14D8E">
          <w:rPr>
            <w:rFonts w:asciiTheme="minorEastAsia" w:eastAsiaTheme="minorEastAsia" w:hAnsiTheme="minorEastAsia"/>
            <w:sz w:val="28"/>
            <w:szCs w:val="28"/>
          </w:rPr>
          <w:instrText xml:space="preserve"> PAGE   \* MERGEFORMAT </w:instrText>
        </w:r>
        <w:r w:rsidR="009E1B12" w:rsidRPr="00B14D8E">
          <w:rPr>
            <w:rFonts w:asciiTheme="minorEastAsia" w:eastAsiaTheme="minorEastAsia" w:hAnsiTheme="minorEastAsia"/>
            <w:sz w:val="28"/>
            <w:szCs w:val="28"/>
          </w:rPr>
          <w:fldChar w:fldCharType="separate"/>
        </w:r>
        <w:r w:rsidR="00671010" w:rsidRPr="00671010">
          <w:rPr>
            <w:rFonts w:asciiTheme="minorEastAsia" w:eastAsiaTheme="minorEastAsia" w:hAnsiTheme="minorEastAsia"/>
            <w:noProof/>
            <w:sz w:val="28"/>
            <w:szCs w:val="28"/>
            <w:lang w:val="zh-CN"/>
          </w:rPr>
          <w:t>15</w:t>
        </w:r>
        <w:r w:rsidR="009E1B12" w:rsidRPr="00B14D8E">
          <w:rPr>
            <w:rFonts w:asciiTheme="minorEastAsia" w:eastAsiaTheme="minorEastAsia" w:hAnsiTheme="minorEastAsia"/>
            <w:sz w:val="28"/>
            <w:szCs w:val="28"/>
          </w:rPr>
          <w:fldChar w:fldCharType="end"/>
        </w:r>
        <w:r w:rsidRPr="00B14D8E">
          <w:rPr>
            <w:rFonts w:asciiTheme="minorEastAsia" w:eastAsiaTheme="minorEastAsia" w:hAnsiTheme="minorEastAsia" w:hint="eastAsia"/>
            <w:sz w:val="28"/>
            <w:szCs w:val="28"/>
          </w:rPr>
          <w:t xml:space="preserve"> —</w:t>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7C78" w:rsidRDefault="00247C78" w:rsidP="00247C78">
      <w:r>
        <w:separator/>
      </w:r>
    </w:p>
  </w:footnote>
  <w:footnote w:type="continuationSeparator" w:id="1">
    <w:p w:rsidR="00247C78" w:rsidRDefault="00247C78" w:rsidP="00247C7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56"/>
  <w:drawingGridVerticalSpacing w:val="287"/>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ulTrailSpace/>
    <w:doNotExpandShiftReturn/>
    <w:adjustLineHeightInTable/>
    <w:useFELayout/>
  </w:compat>
  <w:docVars>
    <w:docVar w:name="commondata" w:val="eyJoZGlkIjoiOThlZTM1MmE4ZWNkYjE0YzQ4YjY4MTg2MGI4YzEzZjMifQ=="/>
  </w:docVars>
  <w:rsids>
    <w:rsidRoot w:val="00E86433"/>
    <w:rsid w:val="0004552B"/>
    <w:rsid w:val="0005256B"/>
    <w:rsid w:val="00087616"/>
    <w:rsid w:val="00092264"/>
    <w:rsid w:val="00094F25"/>
    <w:rsid w:val="00097054"/>
    <w:rsid w:val="000A3C09"/>
    <w:rsid w:val="000A3F3B"/>
    <w:rsid w:val="000B0F2E"/>
    <w:rsid w:val="000E1E3C"/>
    <w:rsid w:val="000F097D"/>
    <w:rsid w:val="000F61DE"/>
    <w:rsid w:val="00107D38"/>
    <w:rsid w:val="00116C0E"/>
    <w:rsid w:val="0012182F"/>
    <w:rsid w:val="0013393F"/>
    <w:rsid w:val="00142015"/>
    <w:rsid w:val="001477AF"/>
    <w:rsid w:val="00154F67"/>
    <w:rsid w:val="00173384"/>
    <w:rsid w:val="00197D7F"/>
    <w:rsid w:val="001A440C"/>
    <w:rsid w:val="001A48D4"/>
    <w:rsid w:val="001C6E0A"/>
    <w:rsid w:val="001D1BDE"/>
    <w:rsid w:val="001F362B"/>
    <w:rsid w:val="00207AE1"/>
    <w:rsid w:val="002264F8"/>
    <w:rsid w:val="00231674"/>
    <w:rsid w:val="00232EEC"/>
    <w:rsid w:val="002344A8"/>
    <w:rsid w:val="00247C78"/>
    <w:rsid w:val="0025055C"/>
    <w:rsid w:val="00253708"/>
    <w:rsid w:val="0026632F"/>
    <w:rsid w:val="00270446"/>
    <w:rsid w:val="002709FC"/>
    <w:rsid w:val="00274392"/>
    <w:rsid w:val="002876A0"/>
    <w:rsid w:val="0029271F"/>
    <w:rsid w:val="00292FC6"/>
    <w:rsid w:val="00296477"/>
    <w:rsid w:val="002A2361"/>
    <w:rsid w:val="002A680E"/>
    <w:rsid w:val="002B3FB3"/>
    <w:rsid w:val="002C7771"/>
    <w:rsid w:val="002D1267"/>
    <w:rsid w:val="002E184D"/>
    <w:rsid w:val="002E33AD"/>
    <w:rsid w:val="002E7812"/>
    <w:rsid w:val="002F34E1"/>
    <w:rsid w:val="002F37E1"/>
    <w:rsid w:val="003064C9"/>
    <w:rsid w:val="0032594F"/>
    <w:rsid w:val="00326293"/>
    <w:rsid w:val="00327AAD"/>
    <w:rsid w:val="00331F6F"/>
    <w:rsid w:val="0033566A"/>
    <w:rsid w:val="00336C3E"/>
    <w:rsid w:val="00337ECE"/>
    <w:rsid w:val="0035184E"/>
    <w:rsid w:val="003577E3"/>
    <w:rsid w:val="003652CB"/>
    <w:rsid w:val="003836F0"/>
    <w:rsid w:val="00397C15"/>
    <w:rsid w:val="003B2A69"/>
    <w:rsid w:val="003B437E"/>
    <w:rsid w:val="003C2520"/>
    <w:rsid w:val="003E37D3"/>
    <w:rsid w:val="003F0DDC"/>
    <w:rsid w:val="003F1F70"/>
    <w:rsid w:val="003F5FDD"/>
    <w:rsid w:val="004162C1"/>
    <w:rsid w:val="00417AE7"/>
    <w:rsid w:val="00435677"/>
    <w:rsid w:val="004603A5"/>
    <w:rsid w:val="004706DD"/>
    <w:rsid w:val="00470B54"/>
    <w:rsid w:val="004A5793"/>
    <w:rsid w:val="004B3004"/>
    <w:rsid w:val="004C6BE9"/>
    <w:rsid w:val="004C728B"/>
    <w:rsid w:val="004F5916"/>
    <w:rsid w:val="00502E88"/>
    <w:rsid w:val="00552BE9"/>
    <w:rsid w:val="005545F9"/>
    <w:rsid w:val="0055623C"/>
    <w:rsid w:val="005610DB"/>
    <w:rsid w:val="005821E0"/>
    <w:rsid w:val="00592050"/>
    <w:rsid w:val="00595D00"/>
    <w:rsid w:val="005B668B"/>
    <w:rsid w:val="005B7F75"/>
    <w:rsid w:val="005D4D9B"/>
    <w:rsid w:val="005E076D"/>
    <w:rsid w:val="005E41A1"/>
    <w:rsid w:val="005F3055"/>
    <w:rsid w:val="005F3DA9"/>
    <w:rsid w:val="006027EE"/>
    <w:rsid w:val="00603D6D"/>
    <w:rsid w:val="006126DE"/>
    <w:rsid w:val="0061463B"/>
    <w:rsid w:val="00615B99"/>
    <w:rsid w:val="00632A28"/>
    <w:rsid w:val="006525AF"/>
    <w:rsid w:val="00655DAA"/>
    <w:rsid w:val="00657BF5"/>
    <w:rsid w:val="00665976"/>
    <w:rsid w:val="0067096A"/>
    <w:rsid w:val="00671010"/>
    <w:rsid w:val="00677205"/>
    <w:rsid w:val="0069441A"/>
    <w:rsid w:val="006A1884"/>
    <w:rsid w:val="006B79F3"/>
    <w:rsid w:val="006B7C0B"/>
    <w:rsid w:val="007005E6"/>
    <w:rsid w:val="0075206F"/>
    <w:rsid w:val="00756E2E"/>
    <w:rsid w:val="007626F9"/>
    <w:rsid w:val="00781A26"/>
    <w:rsid w:val="007A01E8"/>
    <w:rsid w:val="007A78DE"/>
    <w:rsid w:val="007C5886"/>
    <w:rsid w:val="007C7E65"/>
    <w:rsid w:val="007E78F7"/>
    <w:rsid w:val="007F1427"/>
    <w:rsid w:val="007F2C0A"/>
    <w:rsid w:val="007F32F2"/>
    <w:rsid w:val="007F6506"/>
    <w:rsid w:val="008070E5"/>
    <w:rsid w:val="00814465"/>
    <w:rsid w:val="0082448F"/>
    <w:rsid w:val="00825262"/>
    <w:rsid w:val="008311AD"/>
    <w:rsid w:val="008349D4"/>
    <w:rsid w:val="00835832"/>
    <w:rsid w:val="00843754"/>
    <w:rsid w:val="00847CCB"/>
    <w:rsid w:val="008708F2"/>
    <w:rsid w:val="00883302"/>
    <w:rsid w:val="00890D60"/>
    <w:rsid w:val="00892AB8"/>
    <w:rsid w:val="008A1470"/>
    <w:rsid w:val="008A216B"/>
    <w:rsid w:val="008B2586"/>
    <w:rsid w:val="008B28E3"/>
    <w:rsid w:val="008B4988"/>
    <w:rsid w:val="008C0F71"/>
    <w:rsid w:val="008C42C8"/>
    <w:rsid w:val="008E04B1"/>
    <w:rsid w:val="008E2AE7"/>
    <w:rsid w:val="008E4CDC"/>
    <w:rsid w:val="008F79F7"/>
    <w:rsid w:val="0090261D"/>
    <w:rsid w:val="0090685B"/>
    <w:rsid w:val="009075A4"/>
    <w:rsid w:val="00931F35"/>
    <w:rsid w:val="00941482"/>
    <w:rsid w:val="00947AC1"/>
    <w:rsid w:val="009658F2"/>
    <w:rsid w:val="00982572"/>
    <w:rsid w:val="009879A2"/>
    <w:rsid w:val="009903EC"/>
    <w:rsid w:val="00994B14"/>
    <w:rsid w:val="00996796"/>
    <w:rsid w:val="009A7330"/>
    <w:rsid w:val="009B12C6"/>
    <w:rsid w:val="009C0171"/>
    <w:rsid w:val="009E1B12"/>
    <w:rsid w:val="00A55477"/>
    <w:rsid w:val="00A57F21"/>
    <w:rsid w:val="00A65A90"/>
    <w:rsid w:val="00A7491E"/>
    <w:rsid w:val="00A818D1"/>
    <w:rsid w:val="00A82EEA"/>
    <w:rsid w:val="00A9532F"/>
    <w:rsid w:val="00AA661F"/>
    <w:rsid w:val="00AB19F7"/>
    <w:rsid w:val="00AC10E2"/>
    <w:rsid w:val="00AC196D"/>
    <w:rsid w:val="00AD5CA4"/>
    <w:rsid w:val="00AE6445"/>
    <w:rsid w:val="00B120C3"/>
    <w:rsid w:val="00B14D8E"/>
    <w:rsid w:val="00B31BD1"/>
    <w:rsid w:val="00B442F1"/>
    <w:rsid w:val="00B4717C"/>
    <w:rsid w:val="00B53EFA"/>
    <w:rsid w:val="00B72A2F"/>
    <w:rsid w:val="00B775E0"/>
    <w:rsid w:val="00B92C62"/>
    <w:rsid w:val="00B94538"/>
    <w:rsid w:val="00B96F45"/>
    <w:rsid w:val="00BB26D0"/>
    <w:rsid w:val="00BC0673"/>
    <w:rsid w:val="00BC511F"/>
    <w:rsid w:val="00BD0D55"/>
    <w:rsid w:val="00BD4EAF"/>
    <w:rsid w:val="00C05C23"/>
    <w:rsid w:val="00C457D7"/>
    <w:rsid w:val="00C5668A"/>
    <w:rsid w:val="00C56BBE"/>
    <w:rsid w:val="00C676DC"/>
    <w:rsid w:val="00C768CE"/>
    <w:rsid w:val="00C81853"/>
    <w:rsid w:val="00C973E9"/>
    <w:rsid w:val="00CC2E12"/>
    <w:rsid w:val="00CC39DD"/>
    <w:rsid w:val="00CD6819"/>
    <w:rsid w:val="00CF451C"/>
    <w:rsid w:val="00CF5A5E"/>
    <w:rsid w:val="00D02507"/>
    <w:rsid w:val="00D11651"/>
    <w:rsid w:val="00D12502"/>
    <w:rsid w:val="00D15D4A"/>
    <w:rsid w:val="00D163EB"/>
    <w:rsid w:val="00D21BCF"/>
    <w:rsid w:val="00D240D6"/>
    <w:rsid w:val="00D31E94"/>
    <w:rsid w:val="00D514C2"/>
    <w:rsid w:val="00D65123"/>
    <w:rsid w:val="00D65EFD"/>
    <w:rsid w:val="00DA2817"/>
    <w:rsid w:val="00DA7939"/>
    <w:rsid w:val="00DB6A4A"/>
    <w:rsid w:val="00DE0A14"/>
    <w:rsid w:val="00DE51E3"/>
    <w:rsid w:val="00DF2D37"/>
    <w:rsid w:val="00E01EA2"/>
    <w:rsid w:val="00E02F0F"/>
    <w:rsid w:val="00E0694C"/>
    <w:rsid w:val="00E06ACF"/>
    <w:rsid w:val="00E076E1"/>
    <w:rsid w:val="00E1213A"/>
    <w:rsid w:val="00E135AD"/>
    <w:rsid w:val="00E21665"/>
    <w:rsid w:val="00E25F97"/>
    <w:rsid w:val="00E4785D"/>
    <w:rsid w:val="00E55288"/>
    <w:rsid w:val="00E60164"/>
    <w:rsid w:val="00E71FAF"/>
    <w:rsid w:val="00E766E7"/>
    <w:rsid w:val="00E81745"/>
    <w:rsid w:val="00E86433"/>
    <w:rsid w:val="00E90815"/>
    <w:rsid w:val="00EA377E"/>
    <w:rsid w:val="00EB430A"/>
    <w:rsid w:val="00ED6F08"/>
    <w:rsid w:val="00EE02AD"/>
    <w:rsid w:val="00EF448B"/>
    <w:rsid w:val="00F0670B"/>
    <w:rsid w:val="00F161A2"/>
    <w:rsid w:val="00F333B0"/>
    <w:rsid w:val="00F40FE4"/>
    <w:rsid w:val="00F61ACA"/>
    <w:rsid w:val="00F700C2"/>
    <w:rsid w:val="00F808F0"/>
    <w:rsid w:val="00F811B8"/>
    <w:rsid w:val="00F869C3"/>
    <w:rsid w:val="00F87899"/>
    <w:rsid w:val="00F9492F"/>
    <w:rsid w:val="00FA0241"/>
    <w:rsid w:val="00FA2739"/>
    <w:rsid w:val="00FB3B3D"/>
    <w:rsid w:val="00FC6F84"/>
    <w:rsid w:val="00FD168D"/>
    <w:rsid w:val="00FD7F8A"/>
    <w:rsid w:val="00FF5159"/>
    <w:rsid w:val="00FF65A8"/>
    <w:rsid w:val="00FF6DEE"/>
    <w:rsid w:val="01CA5184"/>
    <w:rsid w:val="02B01361"/>
    <w:rsid w:val="04C43370"/>
    <w:rsid w:val="06054A21"/>
    <w:rsid w:val="06C3760A"/>
    <w:rsid w:val="074422AC"/>
    <w:rsid w:val="07646EE4"/>
    <w:rsid w:val="09E95678"/>
    <w:rsid w:val="0A50750F"/>
    <w:rsid w:val="0BAF6AF7"/>
    <w:rsid w:val="0C55445A"/>
    <w:rsid w:val="0C896CBA"/>
    <w:rsid w:val="0D2C5A88"/>
    <w:rsid w:val="0E8229E2"/>
    <w:rsid w:val="0EF26ED0"/>
    <w:rsid w:val="0F055311"/>
    <w:rsid w:val="10A828F0"/>
    <w:rsid w:val="10B414CB"/>
    <w:rsid w:val="11E86AF6"/>
    <w:rsid w:val="1265085E"/>
    <w:rsid w:val="140F0E77"/>
    <w:rsid w:val="146B7A78"/>
    <w:rsid w:val="15453B8B"/>
    <w:rsid w:val="154E47D7"/>
    <w:rsid w:val="17184AC8"/>
    <w:rsid w:val="183B1275"/>
    <w:rsid w:val="18626802"/>
    <w:rsid w:val="1A397312"/>
    <w:rsid w:val="1A3A6473"/>
    <w:rsid w:val="1A956B0D"/>
    <w:rsid w:val="1AEC39D8"/>
    <w:rsid w:val="1C84080D"/>
    <w:rsid w:val="1E507474"/>
    <w:rsid w:val="1F1414A4"/>
    <w:rsid w:val="202157A7"/>
    <w:rsid w:val="20A03F29"/>
    <w:rsid w:val="20D439CB"/>
    <w:rsid w:val="21955551"/>
    <w:rsid w:val="21FB6EBA"/>
    <w:rsid w:val="226C2429"/>
    <w:rsid w:val="22752CE0"/>
    <w:rsid w:val="23A0352A"/>
    <w:rsid w:val="24A46C50"/>
    <w:rsid w:val="26E9008D"/>
    <w:rsid w:val="2A1C3E21"/>
    <w:rsid w:val="2ACB3E02"/>
    <w:rsid w:val="2C6F459C"/>
    <w:rsid w:val="2C90461D"/>
    <w:rsid w:val="2CD91F4C"/>
    <w:rsid w:val="2D2F051F"/>
    <w:rsid w:val="2D6B2EBF"/>
    <w:rsid w:val="2EAB72E2"/>
    <w:rsid w:val="2F097580"/>
    <w:rsid w:val="2F423FAD"/>
    <w:rsid w:val="2F6B364A"/>
    <w:rsid w:val="30E65DCB"/>
    <w:rsid w:val="313D15F1"/>
    <w:rsid w:val="31ED73C5"/>
    <w:rsid w:val="33CC15E1"/>
    <w:rsid w:val="37172C7D"/>
    <w:rsid w:val="3749499B"/>
    <w:rsid w:val="3ABE74D2"/>
    <w:rsid w:val="3B550D33"/>
    <w:rsid w:val="3BC94EF6"/>
    <w:rsid w:val="3CE20B23"/>
    <w:rsid w:val="3D0F792B"/>
    <w:rsid w:val="3D46685B"/>
    <w:rsid w:val="3F4877E4"/>
    <w:rsid w:val="3FD17961"/>
    <w:rsid w:val="40435DE8"/>
    <w:rsid w:val="41B13435"/>
    <w:rsid w:val="41CB5D4C"/>
    <w:rsid w:val="420E5CC4"/>
    <w:rsid w:val="441A26C3"/>
    <w:rsid w:val="445B0DBE"/>
    <w:rsid w:val="44A21F9C"/>
    <w:rsid w:val="46962449"/>
    <w:rsid w:val="4A981DE1"/>
    <w:rsid w:val="4AE046E4"/>
    <w:rsid w:val="4BF67106"/>
    <w:rsid w:val="4C775D8F"/>
    <w:rsid w:val="4E2D73EA"/>
    <w:rsid w:val="4F376C04"/>
    <w:rsid w:val="506247FF"/>
    <w:rsid w:val="51E41A5B"/>
    <w:rsid w:val="5287044A"/>
    <w:rsid w:val="542D0887"/>
    <w:rsid w:val="57B31914"/>
    <w:rsid w:val="584E24F6"/>
    <w:rsid w:val="59012F21"/>
    <w:rsid w:val="5968052A"/>
    <w:rsid w:val="5B4C2906"/>
    <w:rsid w:val="5E1129E3"/>
    <w:rsid w:val="5F3202A9"/>
    <w:rsid w:val="5FC71AEA"/>
    <w:rsid w:val="60504B25"/>
    <w:rsid w:val="60601D2B"/>
    <w:rsid w:val="60B00DE5"/>
    <w:rsid w:val="6252656D"/>
    <w:rsid w:val="64C8031A"/>
    <w:rsid w:val="64CF0313"/>
    <w:rsid w:val="65A92947"/>
    <w:rsid w:val="666C0BB1"/>
    <w:rsid w:val="666D2874"/>
    <w:rsid w:val="667A5E5C"/>
    <w:rsid w:val="677E0B53"/>
    <w:rsid w:val="69E53D85"/>
    <w:rsid w:val="6A472F18"/>
    <w:rsid w:val="6B323EFC"/>
    <w:rsid w:val="6EB70821"/>
    <w:rsid w:val="6F7652C9"/>
    <w:rsid w:val="721A74C6"/>
    <w:rsid w:val="723C3397"/>
    <w:rsid w:val="726245AA"/>
    <w:rsid w:val="737E3B13"/>
    <w:rsid w:val="73A53E82"/>
    <w:rsid w:val="7400630E"/>
    <w:rsid w:val="74B200A2"/>
    <w:rsid w:val="756636C7"/>
    <w:rsid w:val="78475AB0"/>
    <w:rsid w:val="7857653C"/>
    <w:rsid w:val="78692340"/>
    <w:rsid w:val="7A1A1CCD"/>
    <w:rsid w:val="7B2F16E9"/>
    <w:rsid w:val="7B8B6739"/>
    <w:rsid w:val="7C627648"/>
    <w:rsid w:val="7CE76B2B"/>
    <w:rsid w:val="7E6344B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5" w:uiPriority="99" w:unhideWhenUsed="0" w:qFormat="1"/>
    <w:lsdException w:name="footnote text" w:semiHidden="0" w:unhideWhenUsed="0" w:qFormat="1"/>
    <w:lsdException w:name="annotation text" w:semiHidden="0" w:unhideWhenUsed="0" w:qFormat="1"/>
    <w:lsdException w:name="header" w:semiHidden="0" w:unhideWhenUsed="0" w:qFormat="1"/>
    <w:lsdException w:name="footer" w:semiHidden="0" w:uiPriority="99" w:unhideWhenUsed="0" w:qFormat="1"/>
    <w:lsdException w:name="caption" w:qFormat="1"/>
    <w:lsdException w:name="footnote reference" w:semiHidden="0" w:unhideWhenUsed="0" w:qFormat="1"/>
    <w:lsdException w:name="annotation reference" w:semiHidden="0" w:unhideWhenUsed="0"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247C78"/>
    <w:pPr>
      <w:widowControl w:val="0"/>
      <w:jc w:val="both"/>
    </w:pPr>
    <w:rPr>
      <w:rFonts w:ascii="Calibri" w:eastAsia="仿宋_GB2312" w:hAnsi="Calibri" w:cs="Arial"/>
      <w:kern w:val="2"/>
      <w:sz w:val="3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5"/>
    <w:link w:val="Char"/>
    <w:qFormat/>
    <w:rsid w:val="00247C78"/>
    <w:pPr>
      <w:spacing w:before="5"/>
      <w:ind w:left="113"/>
      <w:jc w:val="left"/>
    </w:pPr>
    <w:rPr>
      <w:rFonts w:ascii="仿宋" w:eastAsia="仿宋"/>
      <w:kern w:val="0"/>
      <w:szCs w:val="32"/>
      <w:lang w:eastAsia="en-US"/>
    </w:rPr>
  </w:style>
  <w:style w:type="paragraph" w:styleId="5">
    <w:name w:val="toc 5"/>
    <w:basedOn w:val="a"/>
    <w:next w:val="a"/>
    <w:uiPriority w:val="99"/>
    <w:semiHidden/>
    <w:qFormat/>
    <w:rsid w:val="00247C78"/>
    <w:pPr>
      <w:ind w:leftChars="800" w:left="1680"/>
    </w:pPr>
    <w:rPr>
      <w:rFonts w:cs="Times New Roman"/>
    </w:rPr>
  </w:style>
  <w:style w:type="paragraph" w:styleId="a4">
    <w:name w:val="annotation text"/>
    <w:basedOn w:val="a"/>
    <w:link w:val="Char0"/>
    <w:qFormat/>
    <w:rsid w:val="00247C78"/>
    <w:pPr>
      <w:jc w:val="left"/>
    </w:pPr>
  </w:style>
  <w:style w:type="paragraph" w:styleId="a5">
    <w:name w:val="endnote text"/>
    <w:basedOn w:val="a"/>
    <w:semiHidden/>
    <w:unhideWhenUsed/>
    <w:qFormat/>
    <w:rsid w:val="00247C78"/>
    <w:pPr>
      <w:snapToGrid w:val="0"/>
      <w:jc w:val="left"/>
    </w:pPr>
  </w:style>
  <w:style w:type="paragraph" w:styleId="a6">
    <w:name w:val="Balloon Text"/>
    <w:basedOn w:val="a"/>
    <w:link w:val="Char1"/>
    <w:qFormat/>
    <w:rsid w:val="00247C78"/>
    <w:rPr>
      <w:sz w:val="18"/>
      <w:szCs w:val="18"/>
    </w:rPr>
  </w:style>
  <w:style w:type="paragraph" w:styleId="a7">
    <w:name w:val="footer"/>
    <w:basedOn w:val="a"/>
    <w:next w:val="a5"/>
    <w:link w:val="Char2"/>
    <w:uiPriority w:val="99"/>
    <w:qFormat/>
    <w:rsid w:val="00247C78"/>
    <w:pPr>
      <w:tabs>
        <w:tab w:val="center" w:pos="4153"/>
        <w:tab w:val="right" w:pos="8306"/>
      </w:tabs>
      <w:snapToGrid w:val="0"/>
      <w:jc w:val="left"/>
    </w:pPr>
    <w:rPr>
      <w:sz w:val="18"/>
      <w:szCs w:val="18"/>
    </w:rPr>
  </w:style>
  <w:style w:type="paragraph" w:styleId="a8">
    <w:name w:val="header"/>
    <w:basedOn w:val="a"/>
    <w:qFormat/>
    <w:rsid w:val="00247C78"/>
    <w:pPr>
      <w:pBdr>
        <w:bottom w:val="single" w:sz="6" w:space="1" w:color="auto"/>
      </w:pBdr>
      <w:tabs>
        <w:tab w:val="center" w:pos="4153"/>
        <w:tab w:val="right" w:pos="8306"/>
      </w:tabs>
      <w:snapToGrid w:val="0"/>
      <w:jc w:val="center"/>
    </w:pPr>
    <w:rPr>
      <w:sz w:val="18"/>
      <w:szCs w:val="18"/>
    </w:rPr>
  </w:style>
  <w:style w:type="paragraph" w:styleId="a9">
    <w:name w:val="footnote text"/>
    <w:basedOn w:val="a"/>
    <w:qFormat/>
    <w:rsid w:val="00247C78"/>
    <w:pPr>
      <w:snapToGrid w:val="0"/>
      <w:jc w:val="left"/>
    </w:pPr>
    <w:rPr>
      <w:sz w:val="18"/>
    </w:rPr>
  </w:style>
  <w:style w:type="paragraph" w:styleId="aa">
    <w:name w:val="Normal (Web)"/>
    <w:basedOn w:val="a"/>
    <w:semiHidden/>
    <w:unhideWhenUsed/>
    <w:qFormat/>
    <w:rsid w:val="00247C78"/>
    <w:rPr>
      <w:sz w:val="24"/>
    </w:rPr>
  </w:style>
  <w:style w:type="paragraph" w:styleId="ab">
    <w:name w:val="annotation subject"/>
    <w:basedOn w:val="a4"/>
    <w:next w:val="a4"/>
    <w:link w:val="Char3"/>
    <w:semiHidden/>
    <w:unhideWhenUsed/>
    <w:qFormat/>
    <w:rsid w:val="00247C78"/>
    <w:rPr>
      <w:b/>
      <w:bCs/>
    </w:rPr>
  </w:style>
  <w:style w:type="character" w:styleId="ac">
    <w:name w:val="annotation reference"/>
    <w:basedOn w:val="a1"/>
    <w:qFormat/>
    <w:rsid w:val="00247C78"/>
    <w:rPr>
      <w:sz w:val="21"/>
      <w:szCs w:val="21"/>
    </w:rPr>
  </w:style>
  <w:style w:type="character" w:styleId="ad">
    <w:name w:val="footnote reference"/>
    <w:basedOn w:val="a1"/>
    <w:qFormat/>
    <w:rsid w:val="00247C78"/>
    <w:rPr>
      <w:vertAlign w:val="superscript"/>
    </w:rPr>
  </w:style>
  <w:style w:type="paragraph" w:customStyle="1" w:styleId="1">
    <w:name w:val="列表段落1"/>
    <w:basedOn w:val="a"/>
    <w:qFormat/>
    <w:rsid w:val="00247C78"/>
    <w:pPr>
      <w:ind w:firstLineChars="200" w:firstLine="200"/>
    </w:pPr>
  </w:style>
  <w:style w:type="character" w:customStyle="1" w:styleId="Char1">
    <w:name w:val="批注框文本 Char"/>
    <w:basedOn w:val="a1"/>
    <w:link w:val="a6"/>
    <w:qFormat/>
    <w:rsid w:val="00247C78"/>
    <w:rPr>
      <w:rFonts w:ascii="Calibri" w:eastAsia="仿宋_GB2312" w:hAnsi="Calibri" w:cs="Arial"/>
      <w:kern w:val="2"/>
      <w:sz w:val="18"/>
      <w:szCs w:val="18"/>
    </w:rPr>
  </w:style>
  <w:style w:type="character" w:customStyle="1" w:styleId="Char2">
    <w:name w:val="页脚 Char"/>
    <w:basedOn w:val="a1"/>
    <w:link w:val="a7"/>
    <w:uiPriority w:val="99"/>
    <w:qFormat/>
    <w:rsid w:val="00247C78"/>
    <w:rPr>
      <w:rFonts w:ascii="Calibri" w:eastAsia="仿宋_GB2312" w:hAnsi="Calibri" w:cs="Arial"/>
      <w:kern w:val="2"/>
      <w:sz w:val="18"/>
      <w:szCs w:val="18"/>
    </w:rPr>
  </w:style>
  <w:style w:type="character" w:customStyle="1" w:styleId="Char0">
    <w:name w:val="批注文字 Char"/>
    <w:basedOn w:val="a1"/>
    <w:link w:val="a4"/>
    <w:qFormat/>
    <w:rsid w:val="00247C78"/>
    <w:rPr>
      <w:rFonts w:ascii="Calibri" w:eastAsia="仿宋_GB2312" w:hAnsi="Calibri" w:cs="Arial"/>
      <w:kern w:val="2"/>
      <w:sz w:val="32"/>
      <w:szCs w:val="22"/>
    </w:rPr>
  </w:style>
  <w:style w:type="character" w:customStyle="1" w:styleId="Char3">
    <w:name w:val="批注主题 Char"/>
    <w:basedOn w:val="Char0"/>
    <w:link w:val="ab"/>
    <w:semiHidden/>
    <w:qFormat/>
    <w:rsid w:val="00247C78"/>
    <w:rPr>
      <w:rFonts w:ascii="Calibri" w:eastAsia="仿宋_GB2312" w:hAnsi="Calibri" w:cs="Arial"/>
      <w:b/>
      <w:bCs/>
      <w:kern w:val="2"/>
      <w:sz w:val="32"/>
      <w:szCs w:val="22"/>
    </w:rPr>
  </w:style>
  <w:style w:type="character" w:customStyle="1" w:styleId="Char">
    <w:name w:val="正文文本 Char"/>
    <w:basedOn w:val="a1"/>
    <w:link w:val="a0"/>
    <w:qFormat/>
    <w:rsid w:val="00247C78"/>
    <w:rPr>
      <w:rFonts w:ascii="仿宋" w:eastAsia="仿宋" w:hAnsi="Calibri" w:cs="Arial" w:hint="eastAsia"/>
      <w:sz w:val="32"/>
      <w:szCs w:val="32"/>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656CE-2B91-4AD5-A901-56E68D206CB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1090</Words>
  <Characters>11</Characters>
  <Application>Microsoft Office Word</Application>
  <DocSecurity>0</DocSecurity>
  <Lines>1</Lines>
  <Paragraphs>2</Paragraphs>
  <ScaleCrop>false</ScaleCrop>
  <Company/>
  <LinksUpToDate>false</LinksUpToDate>
  <CharactersWithSpaces>1099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黄歆</dc:creator>
  <cp:lastModifiedBy>贺雪莲 172.16.19.111</cp:lastModifiedBy>
  <cp:revision>2</cp:revision>
  <cp:lastPrinted>2023-07-28T07:58:00Z</cp:lastPrinted>
  <dcterms:created xsi:type="dcterms:W3CDTF">2023-07-28T07:59:00Z</dcterms:created>
  <dcterms:modified xsi:type="dcterms:W3CDTF">2023-07-28T07:59:00Z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2A3D7A515F1B4581A6205E98F1A48371</vt:lpwstr>
  </property>
</Properties>
</file>