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3BF59">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bookmarkStart w:id="1" w:name="_GoBack"/>
      <w:bookmarkEnd w:id="1"/>
    </w:p>
    <w:p w14:paraId="736F97DF">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2026年度湖南省城市桥梁隧道规范化管养及</w:t>
      </w:r>
    </w:p>
    <w:p w14:paraId="7CE0924A">
      <w:pPr>
        <w:keepNext w:val="0"/>
        <w:keepLines w:val="0"/>
        <w:pageBreakBefore w:val="0"/>
        <w:widowControl w:val="0"/>
        <w:kinsoku/>
        <w:wordWrap/>
        <w:overflowPunct/>
        <w:topLinePunct w:val="0"/>
        <w:autoSpaceDE/>
        <w:autoSpaceDN/>
        <w:bidi w:val="0"/>
        <w:adjustRightInd/>
        <w:snapToGrid/>
        <w:spacing w:after="313" w:afterLines="100" w:line="72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安全运行</w:t>
      </w:r>
      <w:bookmarkStart w:id="0" w:name="_Hlk199946381"/>
      <w:r>
        <w:rPr>
          <w:rFonts w:hint="default" w:ascii="Times New Roman" w:hAnsi="Times New Roman" w:eastAsia="方正小标宋简体" w:cs="Times New Roman"/>
          <w:b w:val="0"/>
          <w:bCs w:val="0"/>
          <w:sz w:val="44"/>
          <w:szCs w:val="44"/>
          <w:lang w:val="en-US" w:eastAsia="zh-CN"/>
        </w:rPr>
        <w:t>技术服务</w:t>
      </w:r>
      <w:r>
        <w:rPr>
          <w:rFonts w:hint="eastAsia" w:ascii="Times New Roman" w:hAnsi="Times New Roman" w:eastAsia="方正小标宋简体" w:cs="Times New Roman"/>
          <w:b w:val="0"/>
          <w:bCs w:val="0"/>
          <w:sz w:val="44"/>
          <w:szCs w:val="44"/>
          <w:lang w:val="en-US" w:eastAsia="zh-CN"/>
        </w:rPr>
        <w:t>遴</w:t>
      </w:r>
      <w:r>
        <w:rPr>
          <w:rFonts w:hint="default" w:ascii="Times New Roman" w:hAnsi="Times New Roman" w:eastAsia="方正小标宋简体" w:cs="Times New Roman"/>
          <w:b w:val="0"/>
          <w:bCs w:val="0"/>
          <w:sz w:val="44"/>
          <w:szCs w:val="44"/>
        </w:rPr>
        <w:t>选</w:t>
      </w:r>
      <w:bookmarkEnd w:id="0"/>
      <w:r>
        <w:rPr>
          <w:rFonts w:hint="default" w:ascii="Times New Roman" w:hAnsi="Times New Roman" w:eastAsia="方正小标宋简体" w:cs="Times New Roman"/>
          <w:b w:val="0"/>
          <w:bCs w:val="0"/>
          <w:sz w:val="44"/>
          <w:szCs w:val="44"/>
        </w:rPr>
        <w:t>评分表</w:t>
      </w:r>
    </w:p>
    <w:p w14:paraId="76AD756E">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比选单位：                           评分处室：</w:t>
      </w:r>
    </w:p>
    <w:tbl>
      <w:tblPr>
        <w:tblStyle w:val="5"/>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1096"/>
        <w:gridCol w:w="576"/>
        <w:gridCol w:w="596"/>
        <w:gridCol w:w="6045"/>
        <w:gridCol w:w="721"/>
      </w:tblGrid>
      <w:tr w14:paraId="1B16062A">
        <w:trPr>
          <w:jc w:val="center"/>
        </w:trPr>
        <w:tc>
          <w:tcPr>
            <w:tcW w:w="0" w:type="auto"/>
            <w:vAlign w:val="center"/>
          </w:tcPr>
          <w:p w14:paraId="1CFAB575">
            <w:pPr>
              <w:jc w:val="center"/>
              <w:rPr>
                <w:rFonts w:hint="default" w:ascii="Times New Roman" w:hAnsi="Times New Roman" w:eastAsia="宋体" w:cs="Times New Roman"/>
                <w:b/>
                <w:bCs/>
                <w:color w:val="000000" w:themeColor="text1"/>
                <w:sz w:val="24"/>
                <w:szCs w:val="24"/>
                <w:vertAlign w:val="baseline"/>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序号</w:t>
            </w:r>
          </w:p>
        </w:tc>
        <w:tc>
          <w:tcPr>
            <w:tcW w:w="0" w:type="auto"/>
            <w:vAlign w:val="center"/>
          </w:tcPr>
          <w:p w14:paraId="786D47F4">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类别</w:t>
            </w:r>
          </w:p>
        </w:tc>
        <w:tc>
          <w:tcPr>
            <w:tcW w:w="0" w:type="auto"/>
            <w:vAlign w:val="center"/>
          </w:tcPr>
          <w:p w14:paraId="7C90C98F">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计分</w:t>
            </w:r>
          </w:p>
          <w:p w14:paraId="3AAE3A58">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因素</w:t>
            </w:r>
          </w:p>
        </w:tc>
        <w:tc>
          <w:tcPr>
            <w:tcW w:w="0" w:type="auto"/>
            <w:vAlign w:val="center"/>
          </w:tcPr>
          <w:p w14:paraId="293027A7">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分值</w:t>
            </w:r>
          </w:p>
        </w:tc>
        <w:tc>
          <w:tcPr>
            <w:tcW w:w="0" w:type="auto"/>
            <w:vAlign w:val="center"/>
          </w:tcPr>
          <w:p w14:paraId="2DFD843C">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评分标准</w:t>
            </w:r>
          </w:p>
        </w:tc>
        <w:tc>
          <w:tcPr>
            <w:tcW w:w="721" w:type="dxa"/>
            <w:vAlign w:val="center"/>
          </w:tcPr>
          <w:p w14:paraId="2257E9E4">
            <w:pPr>
              <w:jc w:val="cente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得分</w:t>
            </w:r>
          </w:p>
        </w:tc>
      </w:tr>
      <w:tr w14:paraId="48AABDBB">
        <w:trPr>
          <w:jc w:val="center"/>
        </w:trPr>
        <w:tc>
          <w:tcPr>
            <w:tcW w:w="0" w:type="auto"/>
            <w:gridSpan w:val="3"/>
            <w:vAlign w:val="center"/>
          </w:tcPr>
          <w:p w14:paraId="23441FB0">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总分</w:t>
            </w:r>
          </w:p>
        </w:tc>
        <w:tc>
          <w:tcPr>
            <w:tcW w:w="0" w:type="auto"/>
            <w:vAlign w:val="center"/>
          </w:tcPr>
          <w:p w14:paraId="69BBF75C">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100</w:t>
            </w:r>
          </w:p>
        </w:tc>
        <w:tc>
          <w:tcPr>
            <w:tcW w:w="0" w:type="auto"/>
            <w:vAlign w:val="center"/>
          </w:tcPr>
          <w:p w14:paraId="4D70ADEE">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c>
          <w:tcPr>
            <w:tcW w:w="721" w:type="dxa"/>
            <w:vAlign w:val="center"/>
          </w:tcPr>
          <w:p w14:paraId="580A0B6F">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05FC7FAF">
        <w:trPr>
          <w:trHeight w:val="2933" w:hRule="atLeast"/>
          <w:jc w:val="center"/>
        </w:trPr>
        <w:tc>
          <w:tcPr>
            <w:tcW w:w="0" w:type="auto"/>
            <w:vAlign w:val="center"/>
          </w:tcPr>
          <w:p w14:paraId="4AB920A5">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w:t>
            </w:r>
          </w:p>
        </w:tc>
        <w:tc>
          <w:tcPr>
            <w:tcW w:w="0" w:type="auto"/>
            <w:vMerge w:val="restart"/>
            <w:vAlign w:val="center"/>
          </w:tcPr>
          <w:p w14:paraId="2F1F9425">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商务部分（50）</w:t>
            </w:r>
          </w:p>
        </w:tc>
        <w:tc>
          <w:tcPr>
            <w:tcW w:w="0" w:type="auto"/>
            <w:vAlign w:val="center"/>
          </w:tcPr>
          <w:p w14:paraId="6678145A">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企业资信</w:t>
            </w:r>
          </w:p>
        </w:tc>
        <w:tc>
          <w:tcPr>
            <w:tcW w:w="0" w:type="auto"/>
            <w:vAlign w:val="center"/>
          </w:tcPr>
          <w:p w14:paraId="5DDF7523">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5</w:t>
            </w:r>
          </w:p>
        </w:tc>
        <w:tc>
          <w:tcPr>
            <w:tcW w:w="0" w:type="auto"/>
            <w:vAlign w:val="center"/>
          </w:tcPr>
          <w:p w14:paraId="224E0687">
            <w:pPr>
              <w:numPr>
                <w:ilvl w:val="0"/>
                <w:numId w:val="0"/>
              </w:numPr>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1.供应商须提供</w:t>
            </w:r>
            <w:r>
              <w:rPr>
                <w:rFonts w:hint="default" w:ascii="Times New Roman" w:hAnsi="Times New Roman" w:eastAsia="宋体" w:cs="Times New Roman"/>
                <w:color w:val="000000" w:themeColor="text1"/>
                <w:sz w:val="24"/>
                <w:szCs w:val="24"/>
                <w14:textFill>
                  <w14:solidFill>
                    <w14:schemeClr w14:val="tx1"/>
                  </w14:solidFill>
                </w14:textFill>
              </w:rPr>
              <w:t>营业执照、法人证明、资质证书</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建设行政主管部门颁发的《建设工程质量检测机构资质证书》，具备综合资质或桥梁及地下工程专项资质），资料齐全的，计3</w:t>
            </w:r>
            <w:r>
              <w:rPr>
                <w:rFonts w:hint="default" w:ascii="Times New Roman" w:hAnsi="Times New Roman" w:eastAsia="宋体" w:cs="Times New Roman"/>
                <w:color w:val="000000" w:themeColor="text1"/>
                <w:sz w:val="24"/>
                <w:szCs w:val="24"/>
                <w14:textFill>
                  <w14:solidFill>
                    <w14:schemeClr w14:val="tx1"/>
                  </w14:solidFill>
                </w14:textFill>
              </w:rPr>
              <w:t>分</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无相关资质投标无效</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3EFDADC3">
            <w:pPr>
              <w:jc w:val="left"/>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未列入“信用中国”和“政府采购网”政府采购严重违法失信行为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记录名单，以及未列入“</w:t>
            </w:r>
            <w:r>
              <w:rPr>
                <w:rFonts w:hint="default" w:ascii="Times New Roman" w:hAnsi="Times New Roman" w:eastAsia="宋体" w:cs="Times New Roman"/>
                <w:color w:val="000000" w:themeColor="text1"/>
                <w:sz w:val="24"/>
                <w:szCs w:val="24"/>
                <w14:textFill>
                  <w14:solidFill>
                    <w14:schemeClr w14:val="tx1"/>
                  </w14:solidFill>
                </w14:textFill>
              </w:rPr>
              <w:t>信用中国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”重大税收违法失信主体记录名单，并</w:t>
            </w:r>
            <w:r>
              <w:rPr>
                <w:rFonts w:hint="default" w:ascii="Times New Roman" w:hAnsi="Times New Roman" w:eastAsia="宋体" w:cs="Times New Roman"/>
                <w:color w:val="000000" w:themeColor="text1"/>
                <w:sz w:val="24"/>
                <w:szCs w:val="24"/>
                <w14:textFill>
                  <w14:solidFill>
                    <w14:schemeClr w14:val="tx1"/>
                  </w14:solidFill>
                </w14:textFill>
              </w:rPr>
              <w:t>在申报资料</w:t>
            </w:r>
            <w:r>
              <w:rPr>
                <w:rFonts w:hint="default" w:ascii="Times New Roman" w:hAnsi="Times New Roman" w:eastAsia="宋体" w:cs="Times New Roman"/>
                <w:color w:val="000000" w:themeColor="text1"/>
                <w:sz w:val="24"/>
                <w:szCs w:val="24"/>
                <w:lang w:eastAsia="zh-CN"/>
                <w14:textFill>
                  <w14:solidFill>
                    <w14:schemeClr w14:val="tx1"/>
                  </w14:solidFill>
                </w14:textFill>
              </w:rPr>
              <w:t>中提供</w:t>
            </w:r>
            <w:r>
              <w:rPr>
                <w:rFonts w:hint="default" w:ascii="Times New Roman" w:hAnsi="Times New Roman" w:eastAsia="宋体" w:cs="Times New Roman"/>
                <w:color w:val="000000" w:themeColor="text1"/>
                <w:sz w:val="24"/>
                <w:szCs w:val="24"/>
                <w14:textFill>
                  <w14:solidFill>
                    <w14:schemeClr w14:val="tx1"/>
                  </w14:solidFill>
                </w14:textFill>
              </w:rPr>
              <w:t>没有重大违法记录</w:t>
            </w:r>
            <w:r>
              <w:rPr>
                <w:rFonts w:hint="default" w:ascii="Times New Roman" w:hAnsi="Times New Roman" w:eastAsia="宋体" w:cs="Times New Roman"/>
                <w:color w:val="000000" w:themeColor="text1"/>
                <w:sz w:val="24"/>
                <w:szCs w:val="24"/>
                <w:lang w:eastAsia="zh-CN"/>
                <w14:textFill>
                  <w14:solidFill>
                    <w14:schemeClr w14:val="tx1"/>
                  </w14:solidFill>
                </w14:textFill>
              </w:rPr>
              <w:t>的书面声明，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计2</w:t>
            </w:r>
            <w:r>
              <w:rPr>
                <w:rFonts w:hint="default" w:ascii="Times New Roman" w:hAnsi="Times New Roman" w:eastAsia="宋体" w:cs="Times New Roman"/>
                <w:color w:val="000000" w:themeColor="text1"/>
                <w:sz w:val="24"/>
                <w:szCs w:val="24"/>
                <w14:textFill>
                  <w14:solidFill>
                    <w14:schemeClr w14:val="tx1"/>
                  </w14:solidFill>
                </w14:textFill>
              </w:rPr>
              <w:t>分</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tc>
        <w:tc>
          <w:tcPr>
            <w:tcW w:w="721" w:type="dxa"/>
            <w:vAlign w:val="center"/>
          </w:tcPr>
          <w:p w14:paraId="72812890">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7CE9408C">
        <w:trPr>
          <w:trHeight w:val="1984" w:hRule="atLeast"/>
          <w:jc w:val="center"/>
        </w:trPr>
        <w:tc>
          <w:tcPr>
            <w:tcW w:w="0" w:type="auto"/>
            <w:vAlign w:val="center"/>
          </w:tcPr>
          <w:p w14:paraId="1B9BFC89">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2</w:t>
            </w:r>
          </w:p>
        </w:tc>
        <w:tc>
          <w:tcPr>
            <w:tcW w:w="0" w:type="auto"/>
            <w:vMerge w:val="continue"/>
            <w:vAlign w:val="center"/>
          </w:tcPr>
          <w:p w14:paraId="7534028D">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c>
          <w:tcPr>
            <w:tcW w:w="0" w:type="auto"/>
            <w:vAlign w:val="center"/>
          </w:tcPr>
          <w:p w14:paraId="5AA3930F">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业绩</w:t>
            </w:r>
          </w:p>
        </w:tc>
        <w:tc>
          <w:tcPr>
            <w:tcW w:w="0" w:type="auto"/>
            <w:vAlign w:val="center"/>
          </w:tcPr>
          <w:p w14:paraId="26D6ADC8">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20</w:t>
            </w:r>
          </w:p>
        </w:tc>
        <w:tc>
          <w:tcPr>
            <w:tcW w:w="0" w:type="auto"/>
            <w:vAlign w:val="center"/>
          </w:tcPr>
          <w:p w14:paraId="7FD7190C">
            <w:pPr>
              <w:numPr>
                <w:ilvl w:val="0"/>
                <w:numId w:val="1"/>
              </w:numPr>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近三年承担过城市主管部门委托的特大城市桥梁检测业绩计4分；</w:t>
            </w:r>
          </w:p>
          <w:p w14:paraId="540C9727">
            <w:pPr>
              <w:numPr>
                <w:ilvl w:val="0"/>
                <w:numId w:val="1"/>
              </w:numPr>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近三年承担过城市主管部门委托的城市桥梁检测业绩计8分；</w:t>
            </w:r>
          </w:p>
          <w:p w14:paraId="6A9CFD53">
            <w:pPr>
              <w:numPr>
                <w:ilvl w:val="0"/>
                <w:numId w:val="0"/>
              </w:numPr>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3.近三年承担过城市主管部门委托的城市隧道检测业绩的计8分。</w:t>
            </w:r>
          </w:p>
        </w:tc>
        <w:tc>
          <w:tcPr>
            <w:tcW w:w="721" w:type="dxa"/>
            <w:vAlign w:val="center"/>
          </w:tcPr>
          <w:p w14:paraId="11DC7A1E">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7A40A880">
        <w:trPr>
          <w:trHeight w:val="1407" w:hRule="atLeast"/>
          <w:jc w:val="center"/>
        </w:trPr>
        <w:tc>
          <w:tcPr>
            <w:tcW w:w="0" w:type="auto"/>
            <w:vAlign w:val="center"/>
          </w:tcPr>
          <w:p w14:paraId="24928A75">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3</w:t>
            </w:r>
          </w:p>
        </w:tc>
        <w:tc>
          <w:tcPr>
            <w:tcW w:w="0" w:type="auto"/>
            <w:vMerge w:val="continue"/>
            <w:vAlign w:val="center"/>
          </w:tcPr>
          <w:p w14:paraId="1591502B">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c>
          <w:tcPr>
            <w:tcW w:w="0" w:type="auto"/>
            <w:vAlign w:val="center"/>
          </w:tcPr>
          <w:p w14:paraId="057B59C7">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人员</w:t>
            </w:r>
          </w:p>
          <w:p w14:paraId="160A06A8">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团队</w:t>
            </w:r>
          </w:p>
        </w:tc>
        <w:tc>
          <w:tcPr>
            <w:tcW w:w="0" w:type="auto"/>
            <w:vAlign w:val="center"/>
          </w:tcPr>
          <w:p w14:paraId="424F4E28">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15</w:t>
            </w:r>
          </w:p>
        </w:tc>
        <w:tc>
          <w:tcPr>
            <w:tcW w:w="0" w:type="auto"/>
            <w:vAlign w:val="center"/>
          </w:tcPr>
          <w:p w14:paraId="10C00FC8">
            <w:pPr>
              <w:keepNext w:val="0"/>
              <w:keepLines w:val="0"/>
              <w:pageBreakBefore w:val="0"/>
              <w:widowControl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项目负责人具有市政公用工程相关专业正高级职称，同时具备注册岩土工程师或一级注册结构工程师资格的，计2.5分，不具备相关条件的不计分；</w:t>
            </w:r>
          </w:p>
          <w:p w14:paraId="7466B25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 技术负责人具有市政公用工程相关专业高级职称，同时具备注册岩土工程师或一级注册结构工程师资格的，计2.5分，不具备相关条件的不计分；</w:t>
            </w:r>
          </w:p>
          <w:p w14:paraId="1063A5B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 投入服务团队人员不少于4个具有市政公用工程相关专业高级职称的，计2分，在此基础上每增加1个计1分，最高计8分，本项最多记10分。（所有人员须提供相关人员证书及单位为其缴纳的近3个月社保证明复印件，未提供则不计分）。</w:t>
            </w:r>
          </w:p>
        </w:tc>
        <w:tc>
          <w:tcPr>
            <w:tcW w:w="721" w:type="dxa"/>
            <w:vAlign w:val="center"/>
          </w:tcPr>
          <w:p w14:paraId="419E6D5C">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2E925664">
        <w:trPr>
          <w:trHeight w:val="2244" w:hRule="atLeast"/>
          <w:jc w:val="center"/>
        </w:trPr>
        <w:tc>
          <w:tcPr>
            <w:tcW w:w="0" w:type="auto"/>
            <w:vAlign w:val="center"/>
          </w:tcPr>
          <w:p w14:paraId="2455522D">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4</w:t>
            </w:r>
          </w:p>
        </w:tc>
        <w:tc>
          <w:tcPr>
            <w:tcW w:w="0" w:type="auto"/>
            <w:vAlign w:val="center"/>
          </w:tcPr>
          <w:p w14:paraId="64F26D96">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c>
          <w:tcPr>
            <w:tcW w:w="0" w:type="auto"/>
            <w:vAlign w:val="center"/>
          </w:tcPr>
          <w:p w14:paraId="08382A7E">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仪器</w:t>
            </w:r>
          </w:p>
          <w:p w14:paraId="1A99D731">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设备</w:t>
            </w:r>
          </w:p>
        </w:tc>
        <w:tc>
          <w:tcPr>
            <w:tcW w:w="0" w:type="auto"/>
            <w:vAlign w:val="center"/>
          </w:tcPr>
          <w:p w14:paraId="64241875">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10</w:t>
            </w:r>
          </w:p>
        </w:tc>
        <w:tc>
          <w:tcPr>
            <w:tcW w:w="0" w:type="auto"/>
            <w:vAlign w:val="center"/>
          </w:tcPr>
          <w:p w14:paraId="3DFA256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1.配备自有桥梁检测车的，计5分，配备全站仪、索力测试仪、地质雷达、裂缝观测仪、钢筋扫描仪的每个加1分，本项最多计10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分（桥梁检测车须提供</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车辆行驶证及</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购买发票，其他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设备须提供发票，还应提供检定证书，未提供则不计分）。</w:t>
            </w:r>
          </w:p>
        </w:tc>
        <w:tc>
          <w:tcPr>
            <w:tcW w:w="721" w:type="dxa"/>
            <w:vAlign w:val="center"/>
          </w:tcPr>
          <w:p w14:paraId="50832F58">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18A4AB46">
        <w:trPr>
          <w:trHeight w:val="7333" w:hRule="atLeast"/>
          <w:jc w:val="center"/>
        </w:trPr>
        <w:tc>
          <w:tcPr>
            <w:tcW w:w="0" w:type="auto"/>
            <w:vAlign w:val="center"/>
          </w:tcPr>
          <w:p w14:paraId="130B69F0">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5</w:t>
            </w:r>
          </w:p>
        </w:tc>
        <w:tc>
          <w:tcPr>
            <w:tcW w:w="0" w:type="auto"/>
            <w:vAlign w:val="center"/>
          </w:tcPr>
          <w:p w14:paraId="0BD03299">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技术部分</w:t>
            </w:r>
          </w:p>
          <w:p w14:paraId="7A8DF7A4">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(40)</w:t>
            </w:r>
          </w:p>
        </w:tc>
        <w:tc>
          <w:tcPr>
            <w:tcW w:w="0" w:type="auto"/>
            <w:vAlign w:val="center"/>
          </w:tcPr>
          <w:p w14:paraId="2D8EA174">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服务方案</w:t>
            </w:r>
          </w:p>
        </w:tc>
        <w:tc>
          <w:tcPr>
            <w:tcW w:w="0" w:type="auto"/>
            <w:vAlign w:val="center"/>
          </w:tcPr>
          <w:p w14:paraId="3CC8B834">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40</w:t>
            </w:r>
          </w:p>
        </w:tc>
        <w:tc>
          <w:tcPr>
            <w:tcW w:w="0" w:type="auto"/>
            <w:vAlign w:val="center"/>
          </w:tcPr>
          <w:p w14:paraId="6F890A1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1.整体服务方案。对项目概述、项目理解、工作任务、抽检工作程序的相关表述清晰、内容全面，计10分；欠完善、欠合理每处扣1分，有缺漏项、不满足要求的每处扣2分，扣完为止；未提供整体服务方案不计分；</w:t>
            </w:r>
          </w:p>
          <w:p w14:paraId="0B4B476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2.抽检实施方案。包括抽检工作方法、工作管理制度、拟投入的仪器设备使用方案、安全保障、成果形式等方面从全面性、合理性、适用性进行综合评定：抽检实施方案充分、合理的，计10分；欠</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充分</w:t>
            </w:r>
            <w:r>
              <w:rPr>
                <w:rFonts w:hint="default" w:ascii="Times New Roman" w:hAnsi="Times New Roman" w:eastAsia="宋体" w:cs="Times New Roman"/>
                <w:color w:val="000000" w:themeColor="text1"/>
                <w:kern w:val="0"/>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欠合理每处扣1分，有缺漏项、不满足要求的每处扣2分，扣完为止；未提供抽检实施方案的不计分；</w:t>
            </w:r>
          </w:p>
          <w:p w14:paraId="0475A8A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3.项目组织机构及工作进度计划。项目组织机构、主要人员安排、工作进度计划及保证措施、后续服务等明确、完善、合理，计10分；欠明确，欠</w:t>
            </w:r>
            <w:r>
              <w:rPr>
                <w:rFonts w:hint="default" w:ascii="Times New Roman" w:hAnsi="Times New Roman" w:eastAsia="宋体" w:cs="Times New Roman"/>
                <w:color w:val="000000" w:themeColor="text1"/>
                <w:kern w:val="0"/>
                <w:sz w:val="24"/>
                <w:szCs w:val="24"/>
                <w14:textFill>
                  <w14:solidFill>
                    <w14:schemeClr w14:val="tx1"/>
                  </w14:solidFill>
                </w14:textFill>
              </w:rPr>
              <w:t>完善、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欠合理每处扣1分，有缺漏项、不满足要求的每处扣2分，扣完为止；未提供项目组织机构及工作进度计划不计分；</w:t>
            </w:r>
          </w:p>
          <w:p w14:paraId="0EA829E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000000" w:themeColor="text1"/>
                <w:sz w:val="24"/>
                <w:szCs w:val="24"/>
                <w:vertAlign w:val="baseline"/>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4.投标供应商针对本项目的特点及需求所提出的城市桥梁隧道管理政策解读及管养工作合理化建议，对前5条解读及建议进行评分，完善，具有针对性和深度的，每条计2分；内容欠完善、欠针对性和深度的每条计1分，未提供不计分，本项最多计10分。</w:t>
            </w:r>
          </w:p>
        </w:tc>
        <w:tc>
          <w:tcPr>
            <w:tcW w:w="721" w:type="dxa"/>
            <w:vAlign w:val="center"/>
          </w:tcPr>
          <w:p w14:paraId="071EE750">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r w14:paraId="304C1FB0">
        <w:trPr>
          <w:trHeight w:val="1644" w:hRule="atLeast"/>
          <w:jc w:val="center"/>
        </w:trPr>
        <w:tc>
          <w:tcPr>
            <w:tcW w:w="0" w:type="auto"/>
            <w:vAlign w:val="center"/>
          </w:tcPr>
          <w:p w14:paraId="75662F5F">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6</w:t>
            </w:r>
          </w:p>
        </w:tc>
        <w:tc>
          <w:tcPr>
            <w:tcW w:w="0" w:type="auto"/>
            <w:vAlign w:val="center"/>
          </w:tcPr>
          <w:p w14:paraId="6F33FC52">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报价</w:t>
            </w:r>
          </w:p>
          <w:p w14:paraId="07E9CC6E">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部分</w:t>
            </w:r>
          </w:p>
          <w:p w14:paraId="2AF49AC9">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(10)</w:t>
            </w:r>
          </w:p>
        </w:tc>
        <w:tc>
          <w:tcPr>
            <w:tcW w:w="0" w:type="auto"/>
            <w:vAlign w:val="center"/>
          </w:tcPr>
          <w:p w14:paraId="52040880">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项目报价</w:t>
            </w:r>
          </w:p>
        </w:tc>
        <w:tc>
          <w:tcPr>
            <w:tcW w:w="0" w:type="auto"/>
            <w:vAlign w:val="center"/>
          </w:tcPr>
          <w:p w14:paraId="66402C67">
            <w:pPr>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10</w:t>
            </w:r>
          </w:p>
        </w:tc>
        <w:tc>
          <w:tcPr>
            <w:tcW w:w="0" w:type="auto"/>
            <w:vAlign w:val="center"/>
          </w:tcPr>
          <w:p w14:paraId="13E27950">
            <w:pPr>
              <w:jc w:val="both"/>
              <w:rPr>
                <w:rFonts w:hint="default" w:ascii="Times New Roman" w:hAnsi="Times New Roman" w:eastAsia="宋体" w:cs="Times New Roman"/>
                <w:color w:val="000000" w:themeColor="text1"/>
                <w:sz w:val="24"/>
                <w:szCs w:val="24"/>
                <w:vertAlign w:val="baseline"/>
                <w14:textFill>
                  <w14:solidFill>
                    <w14:schemeClr w14:val="tx1"/>
                  </w14:solidFill>
                </w14:textFill>
              </w:rPr>
            </w:pPr>
            <w:r>
              <w:rPr>
                <w:rFonts w:hint="default" w:ascii="Times New Roman" w:hAnsi="Times New Roman" w:eastAsia="宋体" w:cs="Times New Roman"/>
                <w:color w:val="000000" w:themeColor="text1"/>
                <w:sz w:val="24"/>
                <w:szCs w:val="24"/>
                <w:vertAlign w:val="baseline"/>
                <w14:textFill>
                  <w14:solidFill>
                    <w14:schemeClr w14:val="tx1"/>
                  </w14:solidFill>
                </w14:textFill>
              </w:rPr>
              <w:t>报价最低的为计算基准价，其价格得分为</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vertAlign w:val="baseline"/>
                <w14:textFill>
                  <w14:solidFill>
                    <w14:schemeClr w14:val="tx1"/>
                  </w14:solidFill>
                </w14:textFill>
              </w:rPr>
              <w:t xml:space="preserve">0分；其他申报单位的价格得分按照下列公式计算：报价得分 = </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计算基准价 / 项目报价</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 xml:space="preserve">× </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vertAlign w:val="baseline"/>
                <w14:textFill>
                  <w14:solidFill>
                    <w14:schemeClr w14:val="tx1"/>
                  </w14:solidFill>
                </w14:textFill>
              </w:rPr>
              <w:t>0。</w:t>
            </w:r>
          </w:p>
        </w:tc>
        <w:tc>
          <w:tcPr>
            <w:tcW w:w="721" w:type="dxa"/>
            <w:vAlign w:val="center"/>
          </w:tcPr>
          <w:p w14:paraId="222284F3">
            <w:pPr>
              <w:jc w:val="center"/>
              <w:rPr>
                <w:rFonts w:hint="default" w:ascii="Times New Roman" w:hAnsi="Times New Roman" w:eastAsia="宋体" w:cs="Times New Roman"/>
                <w:color w:val="000000" w:themeColor="text1"/>
                <w:sz w:val="24"/>
                <w:szCs w:val="24"/>
                <w:vertAlign w:val="baseline"/>
                <w14:textFill>
                  <w14:solidFill>
                    <w14:schemeClr w14:val="tx1"/>
                  </w14:solidFill>
                </w14:textFill>
              </w:rPr>
            </w:pPr>
          </w:p>
        </w:tc>
      </w:tr>
    </w:tbl>
    <w:p w14:paraId="4A73D337">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eastAsiaTheme="majorEastAsia"/>
          <w:sz w:val="24"/>
          <w:szCs w:val="24"/>
        </w:rPr>
      </w:pPr>
      <w:r>
        <w:rPr>
          <w:rFonts w:hint="default" w:ascii="Times New Roman" w:hAnsi="Times New Roman" w:eastAsia="宋体" w:cs="Times New Roman"/>
          <w:sz w:val="24"/>
          <w:szCs w:val="24"/>
        </w:rPr>
        <w:t>专家签名</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时间</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69E39876">
      <w:pPr>
        <w:rPr>
          <w:rFonts w:hint="eastAsia" w:asciiTheme="majorEastAsia" w:hAnsiTheme="majorEastAsia" w:eastAsiaTheme="majorEastAsia" w:cstheme="majorEastAsia"/>
          <w:sz w:val="28"/>
          <w:szCs w:val="28"/>
        </w:rPr>
      </w:pPr>
    </w:p>
    <w:sectPr>
      <w:pgSz w:w="11906" w:h="16838"/>
      <w:pgMar w:top="1701" w:right="1417" w:bottom="1701" w:left="1417" w:header="1134" w:footer="1417" w:gutter="0"/>
      <w:pgNumType w:fmt="decimal" w:start="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A1"/>
    <w:family w:val="auto"/>
    <w:pitch w:val="default"/>
    <w:sig w:usb0="E0000AFF" w:usb1="00007843" w:usb2="00000001" w:usb3="00000000" w:csb0="400001BF" w:csb1="DFF70000"/>
    <w:embedRegular r:id="rId1" w:fontKey="{B7826EBF-408C-718D-8999-596A79531CBA}"/>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00000000000000000"/>
    <w:charset w:val="86"/>
    <w:family w:val="auto"/>
    <w:pitch w:val="default"/>
    <w:sig w:usb0="00000000" w:usb1="00000000" w:usb2="00000012" w:usb3="00000000" w:csb0="00040001" w:csb1="00000000"/>
    <w:embedRegular r:id="rId2" w:fontKey="{6375FD0B-704B-6650-8999-596AA0E3DC09}"/>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1AD0D"/>
    <w:multiLevelType w:val="singleLevel"/>
    <w:tmpl w:val="B341AD0D"/>
    <w:lvl w:ilvl="0" w:tentative="0">
      <w:start w:val="1"/>
      <w:numFmt w:val="decimal"/>
      <w:lvlText w:val="%1."/>
      <w:lvlJc w:val="left"/>
      <w:pPr>
        <w:tabs>
          <w:tab w:val="left" w:pos="312"/>
        </w:tabs>
      </w:pPr>
    </w:lvl>
  </w:abstractNum>
  <w:abstractNum w:abstractNumId="1">
    <w:nsid w:val="3782D68B"/>
    <w:multiLevelType w:val="singleLevel"/>
    <w:tmpl w:val="3782D68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hZTI1OGJmZDA0NjRkMDk1NmUxNDlmYmE4OTJhMDIifQ=="/>
    <w:docVar w:name="KSO_WPS_MARK_KEY" w:val="8d17793a-bb10-4a0e-8d71-bfacf53bbc5b"/>
  </w:docVars>
  <w:rsids>
    <w:rsidRoot w:val="00037A59"/>
    <w:rsid w:val="00037A59"/>
    <w:rsid w:val="00404CFA"/>
    <w:rsid w:val="004B4585"/>
    <w:rsid w:val="005D7CD1"/>
    <w:rsid w:val="006836D9"/>
    <w:rsid w:val="00743C83"/>
    <w:rsid w:val="007808D0"/>
    <w:rsid w:val="007822E1"/>
    <w:rsid w:val="008B73C2"/>
    <w:rsid w:val="009523A0"/>
    <w:rsid w:val="00BA431A"/>
    <w:rsid w:val="00C63E9D"/>
    <w:rsid w:val="00D17BD4"/>
    <w:rsid w:val="02BD180A"/>
    <w:rsid w:val="02D7069C"/>
    <w:rsid w:val="051C683A"/>
    <w:rsid w:val="067F1777"/>
    <w:rsid w:val="069A035E"/>
    <w:rsid w:val="080B2B96"/>
    <w:rsid w:val="08624EAC"/>
    <w:rsid w:val="093F51ED"/>
    <w:rsid w:val="0949782D"/>
    <w:rsid w:val="09DF4DF2"/>
    <w:rsid w:val="0A3014FC"/>
    <w:rsid w:val="0B4765DB"/>
    <w:rsid w:val="0C0D512F"/>
    <w:rsid w:val="0C272694"/>
    <w:rsid w:val="0C4D5E73"/>
    <w:rsid w:val="0DBF68FD"/>
    <w:rsid w:val="0E707BF7"/>
    <w:rsid w:val="0F256C33"/>
    <w:rsid w:val="11335021"/>
    <w:rsid w:val="116C0B49"/>
    <w:rsid w:val="11CB5870"/>
    <w:rsid w:val="11DC3390"/>
    <w:rsid w:val="13E62E35"/>
    <w:rsid w:val="148368D6"/>
    <w:rsid w:val="15681628"/>
    <w:rsid w:val="15BF56EC"/>
    <w:rsid w:val="15E038B4"/>
    <w:rsid w:val="16775FC6"/>
    <w:rsid w:val="169E3E88"/>
    <w:rsid w:val="16E42F30"/>
    <w:rsid w:val="17FF2717"/>
    <w:rsid w:val="18FE477D"/>
    <w:rsid w:val="1A312930"/>
    <w:rsid w:val="1B586C8A"/>
    <w:rsid w:val="1C915908"/>
    <w:rsid w:val="1F0661B3"/>
    <w:rsid w:val="1F686DF4"/>
    <w:rsid w:val="208F215E"/>
    <w:rsid w:val="20F12E19"/>
    <w:rsid w:val="210743EB"/>
    <w:rsid w:val="213571AA"/>
    <w:rsid w:val="22574EFE"/>
    <w:rsid w:val="25761B3F"/>
    <w:rsid w:val="25B53AED"/>
    <w:rsid w:val="265B281C"/>
    <w:rsid w:val="268E502F"/>
    <w:rsid w:val="26B20FE3"/>
    <w:rsid w:val="276F60D5"/>
    <w:rsid w:val="288B5901"/>
    <w:rsid w:val="28D9041B"/>
    <w:rsid w:val="290A0F1C"/>
    <w:rsid w:val="29354D30"/>
    <w:rsid w:val="294E0E09"/>
    <w:rsid w:val="2956375B"/>
    <w:rsid w:val="2A0E67EA"/>
    <w:rsid w:val="2A24600D"/>
    <w:rsid w:val="2A3873C3"/>
    <w:rsid w:val="2A7C2BFC"/>
    <w:rsid w:val="2C701096"/>
    <w:rsid w:val="2CC30BF8"/>
    <w:rsid w:val="2DA07759"/>
    <w:rsid w:val="2E9574DA"/>
    <w:rsid w:val="2EC659BD"/>
    <w:rsid w:val="30A549E1"/>
    <w:rsid w:val="30B359F5"/>
    <w:rsid w:val="31496359"/>
    <w:rsid w:val="31826AD6"/>
    <w:rsid w:val="32B254FF"/>
    <w:rsid w:val="32BF4B25"/>
    <w:rsid w:val="33704071"/>
    <w:rsid w:val="33C961AB"/>
    <w:rsid w:val="341A770A"/>
    <w:rsid w:val="34534845"/>
    <w:rsid w:val="34E051D0"/>
    <w:rsid w:val="35223149"/>
    <w:rsid w:val="352C364C"/>
    <w:rsid w:val="369462C9"/>
    <w:rsid w:val="36CE4D07"/>
    <w:rsid w:val="37405B09"/>
    <w:rsid w:val="37B409D1"/>
    <w:rsid w:val="3801173C"/>
    <w:rsid w:val="38710670"/>
    <w:rsid w:val="38795776"/>
    <w:rsid w:val="387E0FDF"/>
    <w:rsid w:val="3949785B"/>
    <w:rsid w:val="3A664181"/>
    <w:rsid w:val="3AD07D78"/>
    <w:rsid w:val="3E500D27"/>
    <w:rsid w:val="3EBF5708"/>
    <w:rsid w:val="3EF43DA9"/>
    <w:rsid w:val="3F2226C4"/>
    <w:rsid w:val="4037219F"/>
    <w:rsid w:val="40CD48B1"/>
    <w:rsid w:val="41A76EB0"/>
    <w:rsid w:val="41AF2209"/>
    <w:rsid w:val="41EA4FEF"/>
    <w:rsid w:val="42692490"/>
    <w:rsid w:val="43456981"/>
    <w:rsid w:val="4348021F"/>
    <w:rsid w:val="438F1AAA"/>
    <w:rsid w:val="453E43AC"/>
    <w:rsid w:val="46317690"/>
    <w:rsid w:val="46BEFF2E"/>
    <w:rsid w:val="47013507"/>
    <w:rsid w:val="479C4FDD"/>
    <w:rsid w:val="47D4552D"/>
    <w:rsid w:val="4A331C29"/>
    <w:rsid w:val="4BDF193C"/>
    <w:rsid w:val="4BFE0015"/>
    <w:rsid w:val="4C107D48"/>
    <w:rsid w:val="4C852C85"/>
    <w:rsid w:val="4D510618"/>
    <w:rsid w:val="4D897DB2"/>
    <w:rsid w:val="4EDE7C89"/>
    <w:rsid w:val="4F9F566B"/>
    <w:rsid w:val="509F5180"/>
    <w:rsid w:val="514C35D0"/>
    <w:rsid w:val="51782617"/>
    <w:rsid w:val="526037D7"/>
    <w:rsid w:val="52C04276"/>
    <w:rsid w:val="537D3970"/>
    <w:rsid w:val="53B33E28"/>
    <w:rsid w:val="54434811"/>
    <w:rsid w:val="56702C07"/>
    <w:rsid w:val="569C0B56"/>
    <w:rsid w:val="571E5A0F"/>
    <w:rsid w:val="57272B15"/>
    <w:rsid w:val="587B479B"/>
    <w:rsid w:val="589C4E3D"/>
    <w:rsid w:val="58BD4DB3"/>
    <w:rsid w:val="5D1256CE"/>
    <w:rsid w:val="5D936B76"/>
    <w:rsid w:val="5EA44A4C"/>
    <w:rsid w:val="5EA66A16"/>
    <w:rsid w:val="5F681446"/>
    <w:rsid w:val="605B738C"/>
    <w:rsid w:val="611B4D6D"/>
    <w:rsid w:val="617C5888"/>
    <w:rsid w:val="61DA69D6"/>
    <w:rsid w:val="624D53FA"/>
    <w:rsid w:val="62A36DC8"/>
    <w:rsid w:val="63072608"/>
    <w:rsid w:val="630D19CE"/>
    <w:rsid w:val="630E06E5"/>
    <w:rsid w:val="63500AFB"/>
    <w:rsid w:val="637C52FF"/>
    <w:rsid w:val="639B1D7D"/>
    <w:rsid w:val="6477444B"/>
    <w:rsid w:val="66424F6D"/>
    <w:rsid w:val="665F74AA"/>
    <w:rsid w:val="67CB14ED"/>
    <w:rsid w:val="67F72B2D"/>
    <w:rsid w:val="68F20AA9"/>
    <w:rsid w:val="69717C20"/>
    <w:rsid w:val="69B12E3A"/>
    <w:rsid w:val="6A22716C"/>
    <w:rsid w:val="6A331379"/>
    <w:rsid w:val="6A5F3F1C"/>
    <w:rsid w:val="6B5B0B88"/>
    <w:rsid w:val="6B6E044F"/>
    <w:rsid w:val="6B6F4633"/>
    <w:rsid w:val="6BBC2E33"/>
    <w:rsid w:val="6CC21877"/>
    <w:rsid w:val="6CF3094C"/>
    <w:rsid w:val="6F712728"/>
    <w:rsid w:val="6FC565D0"/>
    <w:rsid w:val="6FDB2297"/>
    <w:rsid w:val="700C436B"/>
    <w:rsid w:val="70E21403"/>
    <w:rsid w:val="716167CC"/>
    <w:rsid w:val="71D76A8E"/>
    <w:rsid w:val="72077373"/>
    <w:rsid w:val="72711C8A"/>
    <w:rsid w:val="73F43927"/>
    <w:rsid w:val="74986E89"/>
    <w:rsid w:val="74F31E31"/>
    <w:rsid w:val="751029E3"/>
    <w:rsid w:val="754A7358"/>
    <w:rsid w:val="75A90742"/>
    <w:rsid w:val="76277FE4"/>
    <w:rsid w:val="766A6123"/>
    <w:rsid w:val="76946CFC"/>
    <w:rsid w:val="76C05D43"/>
    <w:rsid w:val="76FA1255"/>
    <w:rsid w:val="77185B7F"/>
    <w:rsid w:val="77A17922"/>
    <w:rsid w:val="77AE0291"/>
    <w:rsid w:val="78454752"/>
    <w:rsid w:val="785C1BE8"/>
    <w:rsid w:val="7A540C7C"/>
    <w:rsid w:val="7A664E53"/>
    <w:rsid w:val="7A6F1F5A"/>
    <w:rsid w:val="7B0D0E08"/>
    <w:rsid w:val="7B897E25"/>
    <w:rsid w:val="7C991510"/>
    <w:rsid w:val="7CF76237"/>
    <w:rsid w:val="7E3239CA"/>
    <w:rsid w:val="7ED4682F"/>
    <w:rsid w:val="7EF42A2E"/>
    <w:rsid w:val="7FF07699"/>
    <w:rsid w:val="9FFB7C60"/>
    <w:rsid w:val="BF4B804E"/>
    <w:rsid w:val="BFDDF555"/>
    <w:rsid w:val="DDFD6070"/>
    <w:rsid w:val="F97F6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1243</Words>
  <Characters>1282</Characters>
  <Lines>4</Lines>
  <Paragraphs>1</Paragraphs>
  <TotalTime>54</TotalTime>
  <ScaleCrop>false</ScaleCrop>
  <LinksUpToDate>false</LinksUpToDate>
  <CharactersWithSpaces>1379</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2024-05-13T18:41:00Z</dcterms:created>
  <dc:creator>ASUS</dc:creator>
  <cp:lastModifiedBy>雷白告</cp:lastModifiedBy>
  <cp:lastPrinted>2026-06-05T16:48:00Z</cp:lastPrinted>
  <dcterms:modified xsi:type="dcterms:W3CDTF">2026-07-17T10:55:05Z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34EFC29F932C0AD8F492596A8F03DB9E_43</vt:lpwstr>
  </property>
  <property fmtid="{D5CDD505-2E9C-101B-9397-08002B2CF9AE}" pid="4" name="KSOTemplateDocerSaveRecord">
    <vt:lpwstr>eyJoZGlkIjoiZDAzMTI1YzYwY2JhZDA3YTM0MmE1NzJkNDkyM2RjZDAiLCJ1c2VySWQiOiIzMDQ1NDI3ODQifQ==</vt:lpwstr>
  </property>
</Properties>
</file>