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保障性安居工程专项资金绩效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"/>
        </w:rPr>
        <w:t>评价项目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评分表</w:t>
      </w:r>
    </w:p>
    <w:tbl>
      <w:tblPr>
        <w:tblStyle w:val="4"/>
        <w:tblpPr w:leftFromText="180" w:rightFromText="180" w:vertAnchor="text" w:horzAnchor="page" w:tblpXSpec="center" w:tblpY="447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97"/>
        <w:gridCol w:w="9804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943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企业资质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1.营业执照、执业证书、法人证明等资料提供齐全的得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未在申报资料中提供相关证明材料或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资料提供不全的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.同时未列入“信用中国”和“政府采购网”政府采购严重违法失信行为记录名单，以及未列入“信用中国”重大税收违法失信主体记录名单的，得5分；未在申报资料提供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相关证明材料或资料提供不全的不得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列入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记录名单的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供应商或在绩效评价工作近三年被省级财政部门通报批评的，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直接取消比选资格。</w:t>
            </w:r>
          </w:p>
        </w:tc>
        <w:tc>
          <w:tcPr>
            <w:tcW w:w="943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工作方案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服务方案应符合国家政策及有关法律法规要求，包括但不限于总体方案、人员保障、工作流程、质量保证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、纪律监督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等内容，从内容全面、方案完整、思路清晰、契合实际、目标明确等方面横向比较：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1.符合需求得40分；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2.基本符合需求得30分；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3.一般符合需求得20分；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4.不符合需求不得分。</w:t>
            </w:r>
          </w:p>
        </w:tc>
        <w:tc>
          <w:tcPr>
            <w:tcW w:w="943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投标报价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投标人的报价单项得分统一按公式计算：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（评标基准报价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调整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／投标报价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调整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 ×报价权重分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经评委会一致认定满足招标文件要求的最低报价为评标基准报价。</w:t>
            </w:r>
          </w:p>
        </w:tc>
        <w:tc>
          <w:tcPr>
            <w:tcW w:w="9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8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人员团队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本项目人员配备不得低于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人（含项目负责人），且人员配置合理，专业性强，有利于项目实施按时序完成。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1.申报资料中人员配备低于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人此项不得分；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2.申报资料中未提供人员配备社保缴纳证明的不得分；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3.申报资料中的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项目负责人具备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注册会计师证书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高级会计师职称的计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分,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其余人员具备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注册会计师证书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或高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级会计师职称的计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中级会计师职称的计2分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满分15分，多提供不另外加分。</w:t>
            </w:r>
          </w:p>
        </w:tc>
        <w:tc>
          <w:tcPr>
            <w:tcW w:w="9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2022年以来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受省直部门委托独立开展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类似评价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项目，每个项目计2.5分；受市县财政部门（含各类经开区）委托独立开展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类似评价项目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，每个项目计1分；最多计10分。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注：投标时须提供委托协议（合同）复印件或相关证明材料（如：提供加盖委托单位公章的证明原件）。</w:t>
            </w:r>
          </w:p>
        </w:tc>
        <w:tc>
          <w:tcPr>
            <w:tcW w:w="9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43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企业荣誉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253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2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2022年以来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，获得省级行政部门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省行业协会颁发的先进奖项，每获一个奖项计3分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区县（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市行业协会颁发的先进奖项，每获一个奖项计2分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tabs>
                <w:tab w:val="left" w:pos="1082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2022年以来，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完成财政绩效评价报告，被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行业主管部门或被评价单位或委托单位：评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为“优秀”的，每个得3分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评价为“良好”的，每个得2分，其余不得分。</w:t>
            </w:r>
          </w:p>
          <w:p>
            <w:pPr>
              <w:keepNext w:val="0"/>
              <w:keepLines w:val="0"/>
              <w:pageBreakBefore w:val="0"/>
              <w:tabs>
                <w:tab w:val="left" w:pos="1082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此项累计最多计10分，需提供相关证明材料复印件，未提供的不予计分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</w:tc>
        <w:tc>
          <w:tcPr>
            <w:tcW w:w="943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2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05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8400" w:hanging="8400" w:hangingChars="3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计</w:t>
            </w:r>
          </w:p>
        </w:tc>
        <w:tc>
          <w:tcPr>
            <w:tcW w:w="943" w:type="pct"/>
            <w:vAlign w:val="center"/>
          </w:tcPr>
          <w:p>
            <w:pPr>
              <w:tabs>
                <w:tab w:val="left" w:pos="1988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专家签名：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时间：        年    月    日</w:t>
      </w:r>
    </w:p>
    <w:sectPr>
      <w:pgSz w:w="16838" w:h="11906" w:orient="landscape"/>
      <w:pgMar w:top="1134" w:right="1134" w:bottom="1134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6E88F67-77C1-493D-A535-567D38D0A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3D723C-241A-4F31-94AA-F1C9CD720C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9E13EF-29B5-4C07-87B2-E2AC818FC6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TdiZGI0Y2I4NjNhMDIyOGE4M2Y3MjM5NWI1ZWEifQ=="/>
  </w:docVars>
  <w:rsids>
    <w:rsidRoot w:val="00E239B9"/>
    <w:rsid w:val="00197B14"/>
    <w:rsid w:val="002F29B9"/>
    <w:rsid w:val="003C0117"/>
    <w:rsid w:val="0060645A"/>
    <w:rsid w:val="007577D5"/>
    <w:rsid w:val="00763820"/>
    <w:rsid w:val="0092664B"/>
    <w:rsid w:val="00953942"/>
    <w:rsid w:val="00975313"/>
    <w:rsid w:val="00A424AF"/>
    <w:rsid w:val="00B02747"/>
    <w:rsid w:val="00B17466"/>
    <w:rsid w:val="00C00D9E"/>
    <w:rsid w:val="00C27D68"/>
    <w:rsid w:val="00C418F0"/>
    <w:rsid w:val="00C50225"/>
    <w:rsid w:val="00C65505"/>
    <w:rsid w:val="00CC1058"/>
    <w:rsid w:val="00D535E3"/>
    <w:rsid w:val="00DA57D0"/>
    <w:rsid w:val="00E239B9"/>
    <w:rsid w:val="00E83813"/>
    <w:rsid w:val="00EB2B84"/>
    <w:rsid w:val="00F86D46"/>
    <w:rsid w:val="00FD07B7"/>
    <w:rsid w:val="06B964EC"/>
    <w:rsid w:val="11023099"/>
    <w:rsid w:val="19C374C4"/>
    <w:rsid w:val="1C73240D"/>
    <w:rsid w:val="20247ADF"/>
    <w:rsid w:val="26EC5010"/>
    <w:rsid w:val="28E74B0D"/>
    <w:rsid w:val="2D363E2F"/>
    <w:rsid w:val="2DE5794F"/>
    <w:rsid w:val="34CD222B"/>
    <w:rsid w:val="38FD3E11"/>
    <w:rsid w:val="3F6FD8C7"/>
    <w:rsid w:val="452F31CF"/>
    <w:rsid w:val="4E211388"/>
    <w:rsid w:val="50487AB0"/>
    <w:rsid w:val="54FB77E7"/>
    <w:rsid w:val="62970FC3"/>
    <w:rsid w:val="62C90F25"/>
    <w:rsid w:val="66A43E44"/>
    <w:rsid w:val="68F90F8F"/>
    <w:rsid w:val="6CBC11B2"/>
    <w:rsid w:val="6CD863BD"/>
    <w:rsid w:val="6E723A91"/>
    <w:rsid w:val="6EF93230"/>
    <w:rsid w:val="734B0C60"/>
    <w:rsid w:val="75FFCBDE"/>
    <w:rsid w:val="769413F2"/>
    <w:rsid w:val="787F1FD9"/>
    <w:rsid w:val="79F19576"/>
    <w:rsid w:val="7B592CFE"/>
    <w:rsid w:val="7CDB38D7"/>
    <w:rsid w:val="7EEE4B88"/>
    <w:rsid w:val="7FD73A0F"/>
    <w:rsid w:val="7FF4B7B7"/>
    <w:rsid w:val="9FAF1B7E"/>
    <w:rsid w:val="AAED23B8"/>
    <w:rsid w:val="BE7FFF91"/>
    <w:rsid w:val="BFB6A006"/>
    <w:rsid w:val="DBFE0B6B"/>
    <w:rsid w:val="EDFA7D29"/>
    <w:rsid w:val="F7D5530C"/>
    <w:rsid w:val="FB5D2970"/>
    <w:rsid w:val="FB7D5C8D"/>
    <w:rsid w:val="FBFFBE50"/>
    <w:rsid w:val="FE4E5DDD"/>
    <w:rsid w:val="FED9460C"/>
    <w:rsid w:val="FFE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984</Characters>
  <Lines>9</Lines>
  <Paragraphs>2</Paragraphs>
  <TotalTime>17</TotalTime>
  <ScaleCrop>false</ScaleCrop>
  <LinksUpToDate>false</LinksUpToDate>
  <CharactersWithSpaces>1119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2020-12-05T17:28:00Z</dcterms:created>
  <dc:creator>凡芬 192.168.4.3</dc:creator>
  <cp:lastModifiedBy>YaLin</cp:lastModifiedBy>
  <cp:lastPrinted>2024-11-08T01:56:00Z</cp:lastPrinted>
  <dcterms:modified xsi:type="dcterms:W3CDTF">2025-12-22T08:54:32Z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7938F5D722CC40A1A0F11C849D2E7CE1_13</vt:lpwstr>
  </property>
  <property fmtid="{D5CDD505-2E9C-101B-9397-08002B2CF9AE}" pid="4" name="KSOTemplateDocerSaveRecord">
    <vt:lpwstr>eyJoZGlkIjoiMjIzODE2ZGM2N2M1Nzg1YzgyNzhlNzQ3MDUwM2UwNGIiLCJ1c2VySWQiOiI1ODM2NjY4NTMifQ==</vt:lpwstr>
  </property>
</Properties>
</file>