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附</w:t>
      </w:r>
      <w:r>
        <w:rPr>
          <w:rFonts w:hint="eastAsia" w:ascii="Times New Roman" w:hAnsi="Times New Roman" w:eastAsia="方正小标宋简体" w:cs="Times New Roman"/>
          <w:sz w:val="36"/>
          <w:szCs w:val="36"/>
        </w:rPr>
        <w:t>件</w:t>
      </w:r>
      <w:r>
        <w:rPr>
          <w:rFonts w:ascii="Times New Roman" w:hAnsi="Times New Roman" w:eastAsia="方正小标宋简体" w:cs="Times New Roman"/>
          <w:sz w:val="36"/>
          <w:szCs w:val="36"/>
          <w:lang w:val="en"/>
        </w:rPr>
        <w:t>3</w:t>
      </w:r>
      <w:r>
        <w:rPr>
          <w:rFonts w:hint="eastAsia" w:ascii="Times New Roman" w:hAnsi="Times New Roman" w:eastAsia="方正小标宋简体" w:cs="Times New Roman"/>
          <w:sz w:val="36"/>
          <w:szCs w:val="36"/>
        </w:rPr>
        <w:t xml:space="preserve">-3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 xml:space="preserve">       </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rPr>
        <w:t>湖南省</w:t>
      </w:r>
      <w:r>
        <w:rPr>
          <w:rFonts w:ascii="Times New Roman" w:hAnsi="Times New Roman" w:eastAsia="方正小标宋简体" w:cs="Times New Roman"/>
          <w:sz w:val="36"/>
          <w:szCs w:val="36"/>
        </w:rPr>
        <w:t>部品部件生产类装配式建筑产业基地</w:t>
      </w:r>
      <w:r>
        <w:rPr>
          <w:rFonts w:hint="eastAsia" w:ascii="Times New Roman" w:hAnsi="Times New Roman" w:eastAsia="方正小标宋简体" w:cs="Times New Roman"/>
          <w:sz w:val="36"/>
          <w:szCs w:val="36"/>
        </w:rPr>
        <w:t>自评表</w:t>
      </w:r>
    </w:p>
    <w:p>
      <w:pPr>
        <w:pStyle w:val="2"/>
        <w:rPr>
          <w:rFonts w:ascii="方正小标宋简体" w:hAnsi="方正小标宋简体" w:eastAsia="方正小标宋简体" w:cs="方正小标宋简体"/>
          <w:sz w:val="18"/>
          <w:szCs w:val="18"/>
        </w:rPr>
      </w:pPr>
    </w:p>
    <w:tbl>
      <w:tblPr>
        <w:tblStyle w:val="5"/>
        <w:tblW w:w="14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708"/>
        <w:gridCol w:w="1134"/>
        <w:gridCol w:w="3867"/>
        <w:gridCol w:w="11"/>
        <w:gridCol w:w="375"/>
        <w:gridCol w:w="5869"/>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88" w:type="dxa"/>
            <w:gridSpan w:val="5"/>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企业名称：</w:t>
            </w:r>
          </w:p>
        </w:tc>
        <w:tc>
          <w:tcPr>
            <w:tcW w:w="8076" w:type="dxa"/>
            <w:gridSpan w:val="3"/>
            <w:tcBorders>
              <w:top w:val="nil"/>
              <w:left w:val="nil"/>
              <w:bottom w:val="single" w:color="auto" w:sz="4" w:space="0"/>
              <w:right w:val="nil"/>
            </w:tcBorders>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市州：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364"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控制项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tcBorders>
              <w:top w:val="single" w:color="auto" w:sz="4" w:space="0"/>
              <w:lef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b/>
                <w:bCs/>
                <w:color w:val="000000"/>
                <w:kern w:val="0"/>
                <w:szCs w:val="21"/>
              </w:rPr>
              <w:t>要点</w:t>
            </w:r>
          </w:p>
        </w:tc>
        <w:tc>
          <w:tcPr>
            <w:tcW w:w="6255" w:type="dxa"/>
            <w:gridSpan w:val="3"/>
            <w:tcBorders>
              <w:top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832" w:type="dxa"/>
            <w:tcBorders>
              <w:top w:val="single" w:color="auto" w:sz="4" w:space="0"/>
              <w:right w:val="single" w:color="auto" w:sz="4" w:space="0"/>
            </w:tcBorders>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1 生产基地已建成投产，具有固定的生产场所和工业厂房、成品及原材料堆场和办公、研发、试验管理用房；</w:t>
            </w:r>
          </w:p>
        </w:tc>
        <w:tc>
          <w:tcPr>
            <w:tcW w:w="6255" w:type="dxa"/>
            <w:gridSpan w:val="3"/>
            <w:shd w:val="clear" w:color="auto" w:fill="auto"/>
            <w:noWrap/>
            <w:vAlign w:val="center"/>
          </w:tcPr>
          <w:p>
            <w:pPr>
              <w:widowControl/>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1 提供固定资产证明；</w:t>
            </w:r>
          </w:p>
          <w:p>
            <w:pPr>
              <w:widowControl/>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2 提供厂房、堆场及管理用房的现场照片；</w:t>
            </w:r>
          </w:p>
          <w:p>
            <w:pPr>
              <w:widowControl/>
              <w:jc w:val="left"/>
              <w:textAlignment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3 可由企业所在地主管部门现场踏勘后，开具满足评价条件的相关证明；</w:t>
            </w:r>
          </w:p>
          <w:p>
            <w:pPr>
              <w:widowControl/>
              <w:jc w:val="left"/>
              <w:textAlignment w:val="center"/>
            </w:pPr>
            <w:r>
              <w:rPr>
                <w:rFonts w:hint="eastAsia" w:ascii="Times New Roman" w:hAnsi="Times New Roman" w:eastAsia="仿宋_GB2312" w:cs="Times New Roman"/>
                <w:color w:val="000000"/>
                <w:kern w:val="0"/>
                <w:szCs w:val="21"/>
              </w:rPr>
              <w:t>（对于1、2项材料有缺失的企业，可通过材料3进行补充证明）</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2 企业通过质量、安全、健康体系认证，制定了完善的技术、质量、安全和档案管理制度；</w:t>
            </w:r>
          </w:p>
        </w:tc>
        <w:tc>
          <w:tcPr>
            <w:tcW w:w="6255" w:type="dxa"/>
            <w:gridSpan w:val="3"/>
            <w:shd w:val="clear" w:color="auto" w:fill="auto"/>
            <w:noWrap/>
            <w:vAlign w:val="center"/>
          </w:tcPr>
          <w:p>
            <w:pPr>
              <w:widowControl/>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 提供有效期内的相关认证材料；</w:t>
            </w:r>
          </w:p>
          <w:p>
            <w:pPr>
              <w:widowControl/>
              <w:jc w:val="left"/>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color w:val="000000"/>
                <w:kern w:val="0"/>
                <w:szCs w:val="21"/>
              </w:rPr>
              <w:t>2 提供企业技术、质量、安全和档案管理制度，并附执行情况证明材料；</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3 具有满足装配式建筑部品构件生产要求、智能化程度较高的成套生产流水线至少1条及配套起重、运输设备；</w:t>
            </w:r>
          </w:p>
        </w:tc>
        <w:tc>
          <w:tcPr>
            <w:tcW w:w="6255" w:type="dxa"/>
            <w:gridSpan w:val="3"/>
            <w:shd w:val="clear" w:color="auto" w:fill="auto"/>
            <w:noWrap/>
            <w:vAlign w:val="center"/>
          </w:tcPr>
          <w:p>
            <w:pPr>
              <w:widowControl/>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 提供成套生产流水线及配套起重、运输设备购买合同或其他证明材料</w:t>
            </w:r>
            <w:r>
              <w:rPr>
                <w:rFonts w:hint="eastAsia" w:ascii="Times New Roman" w:hAnsi="Times New Roman" w:eastAsia="仿宋_GB2312" w:cs="Times New Roman"/>
                <w:color w:val="000000"/>
                <w:kern w:val="0"/>
                <w:szCs w:val="21"/>
              </w:rPr>
              <w:t>；</w:t>
            </w:r>
          </w:p>
          <w:p>
            <w:pPr>
              <w:widowControl/>
              <w:spacing w:line="280" w:lineRule="exact"/>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2 可由企业所在地主管部门现场踏勘后，开具满足评价条件的相关证明</w:t>
            </w:r>
            <w:r>
              <w:rPr>
                <w:rFonts w:hint="eastAsia" w:ascii="Times New Roman" w:hAnsi="Times New Roman" w:eastAsia="仿宋_GB2312" w:cs="Times New Roman"/>
                <w:color w:val="000000"/>
                <w:kern w:val="0"/>
                <w:szCs w:val="21"/>
              </w:rPr>
              <w:t>；</w:t>
            </w:r>
          </w:p>
          <w:p>
            <w:pPr>
              <w:widowControl/>
              <w:spacing w:line="280" w:lineRule="exact"/>
              <w:jc w:val="left"/>
              <w:textAlignment w:val="center"/>
            </w:pPr>
            <w:r>
              <w:rPr>
                <w:rFonts w:hint="eastAsia" w:ascii="Times New Roman" w:hAnsi="Times New Roman" w:eastAsia="仿宋_GB2312" w:cs="Times New Roman"/>
                <w:color w:val="000000"/>
                <w:kern w:val="0"/>
                <w:szCs w:val="21"/>
              </w:rPr>
              <w:t>（当没有1时提供2）</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4 具有原材料采购合同、发票、质量证明、进场复验记录；具有成品质量控制系统，及出厂检验记录、型式检验报告；</w:t>
            </w:r>
          </w:p>
        </w:tc>
        <w:tc>
          <w:tcPr>
            <w:tcW w:w="6255" w:type="dxa"/>
            <w:gridSpan w:val="3"/>
            <w:shd w:val="clear" w:color="auto" w:fill="auto"/>
            <w:noWrap/>
            <w:vAlign w:val="center"/>
          </w:tcPr>
          <w:p>
            <w:pPr>
              <w:widowControl/>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 提供企业原材料采购合同、发票、质量证明、进场复验记录；</w:t>
            </w:r>
          </w:p>
          <w:p>
            <w:pPr>
              <w:widowControl/>
              <w:jc w:val="left"/>
              <w:textAlignment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2 提供企业成品质量控制系统的相关资料和实施案例；</w:t>
            </w:r>
          </w:p>
          <w:p>
            <w:pPr>
              <w:widowControl/>
              <w:jc w:val="left"/>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color w:val="000000"/>
                <w:kern w:val="0"/>
                <w:szCs w:val="21"/>
              </w:rPr>
              <w:t>3 提供预制部品部件出厂检验记录、型式检验报告；</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5 提供企业近3年资信情况证明，企业信誉良好，无征信不良行为记录；</w:t>
            </w:r>
          </w:p>
        </w:tc>
        <w:tc>
          <w:tcPr>
            <w:tcW w:w="6255" w:type="dxa"/>
            <w:gridSpan w:val="3"/>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rPr>
              <w:t>提供企业近3年资信情况证明</w:t>
            </w:r>
            <w:r>
              <w:rPr>
                <w:rFonts w:hint="eastAsia" w:ascii="Times New Roman" w:hAnsi="Times New Roman" w:eastAsia="仿宋_GB2312" w:cs="Times New Roman"/>
              </w:rPr>
              <w:t>；</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6 申报当年不得发生一般及以上相关安全事故，且近3年不得发生较大相关安全和质量事故；</w:t>
            </w:r>
          </w:p>
        </w:tc>
        <w:tc>
          <w:tcPr>
            <w:tcW w:w="6255" w:type="dxa"/>
            <w:gridSpan w:val="3"/>
            <w:shd w:val="clear" w:color="auto" w:fill="auto"/>
            <w:noWrap/>
            <w:vAlign w:val="center"/>
          </w:tcPr>
          <w:p>
            <w:pPr>
              <w:widowControl/>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rPr>
              <w:t>企业提供近3年无重大质量、安全、环保责任事故承诺函</w:t>
            </w:r>
            <w:r>
              <w:rPr>
                <w:rFonts w:hint="eastAsia" w:ascii="Times New Roman" w:hAnsi="Times New Roman" w:eastAsia="仿宋_GB2312" w:cs="Times New Roman"/>
              </w:rPr>
              <w:t>；</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77" w:type="dxa"/>
            <w:gridSpan w:val="4"/>
            <w:shd w:val="clear" w:color="auto" w:fill="auto"/>
            <w:noWrap/>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7 累计承担装配式建筑项目实施总面积不小于20万㎡。</w:t>
            </w:r>
          </w:p>
        </w:tc>
        <w:tc>
          <w:tcPr>
            <w:tcW w:w="6255" w:type="dxa"/>
            <w:gridSpan w:val="3"/>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rPr>
              <w:t>提供企业近3年承担的装配式建筑项目的施工总承包合同或中标通知书</w:t>
            </w:r>
            <w:r>
              <w:rPr>
                <w:rFonts w:hint="eastAsia" w:ascii="Times New Roman" w:hAnsi="Times New Roman" w:eastAsia="仿宋_GB2312" w:cs="Times New Roman"/>
              </w:rPr>
              <w:t>；</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4364" w:type="dxa"/>
            <w:gridSpan w:val="8"/>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基础分项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68"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序号</w:t>
            </w:r>
          </w:p>
        </w:tc>
        <w:tc>
          <w:tcPr>
            <w:tcW w:w="1842" w:type="dxa"/>
            <w:gridSpan w:val="2"/>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评分要点</w:t>
            </w:r>
          </w:p>
        </w:tc>
        <w:tc>
          <w:tcPr>
            <w:tcW w:w="4253" w:type="dxa"/>
            <w:gridSpan w:val="3"/>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评分标准</w:t>
            </w:r>
          </w:p>
        </w:tc>
        <w:tc>
          <w:tcPr>
            <w:tcW w:w="5869"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color w:val="000000"/>
                <w:szCs w:val="21"/>
              </w:rPr>
            </w:pPr>
            <w:r>
              <w:rPr>
                <w:rFonts w:ascii="Times New Roman" w:hAnsi="Times New Roman" w:eastAsia="仿宋_GB2312" w:cs="Times New Roman"/>
                <w:color w:val="000000"/>
                <w:kern w:val="0"/>
                <w:szCs w:val="21"/>
              </w:rPr>
              <w:t>1</w:t>
            </w:r>
          </w:p>
        </w:tc>
        <w:tc>
          <w:tcPr>
            <w:tcW w:w="708"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技术水平（30分）</w:t>
            </w:r>
          </w:p>
        </w:tc>
        <w:tc>
          <w:tcPr>
            <w:tcW w:w="1134"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标准化</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水平</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（10分）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生产的预制部品部件中，符合湖南省装配式建筑标准部品部件库尺寸要求的构件占所生产预制构件总比例不低于50%，得5分，每增加10%，加1分，总得分不大于10分；</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提供企业申报当年生产的预制部品部件产品尺寸清单；</w:t>
            </w:r>
          </w:p>
          <w:p>
            <w:pPr>
              <w:pStyle w:val="2"/>
              <w:rPr>
                <w:rFonts w:ascii="Times New Roman" w:hAnsi="Times New Roman" w:eastAsia="仿宋_GB2312" w:cs="Times New Roman"/>
              </w:rPr>
            </w:pPr>
            <w:r>
              <w:rPr>
                <w:rFonts w:ascii="Times New Roman" w:hAnsi="Times New Roman" w:eastAsia="仿宋_GB2312" w:cs="Times New Roman"/>
              </w:rPr>
              <w:t>2 提供企业申报当年的模具定制订单（需体现尺寸）</w:t>
            </w:r>
            <w:r>
              <w:rPr>
                <w:rFonts w:hint="eastAsia" w:ascii="Times New Roman" w:hAnsi="Times New Roman" w:eastAsia="仿宋_GB2312" w:cs="Times New Roman"/>
              </w:rPr>
              <w:t>；</w:t>
            </w:r>
          </w:p>
          <w:p>
            <w:pPr>
              <w:pStyle w:val="2"/>
              <w:rPr>
                <w:rFonts w:ascii="Times New Roman" w:hAnsi="Times New Roman" w:eastAsia="仿宋_GB2312" w:cs="Times New Roman"/>
              </w:rPr>
            </w:pPr>
            <w:r>
              <w:rPr>
                <w:rFonts w:hint="eastAsia" w:ascii="Times New Roman" w:hAnsi="Times New Roman" w:eastAsia="仿宋_GB2312" w:cs="Times New Roman"/>
              </w:rPr>
              <w:t>（</w:t>
            </w:r>
            <w:r>
              <w:rPr>
                <w:rFonts w:ascii="Times New Roman" w:hAnsi="Times New Roman" w:eastAsia="仿宋_GB2312" w:cs="Times New Roman"/>
              </w:rPr>
              <w:t>当没有1时提供2</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134"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信息化</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应用</w:t>
            </w:r>
          </w:p>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（10分）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建立生产制作全过程的信息化管理系统，并能运用建筑信息模型（BIM）技术，使构件生产及运输各个环节均处于可视化在线监控和质量可追溯状态；</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提供生产项目采用BIM技术进行信息化管理的佐证资料；</w:t>
            </w:r>
          </w:p>
          <w:p>
            <w:pPr>
              <w:pStyle w:val="2"/>
              <w:rPr>
                <w:rFonts w:ascii="Times New Roman" w:hAnsi="Times New Roman" w:eastAsia="仿宋_GB2312" w:cs="Times New Roman"/>
              </w:rPr>
            </w:pPr>
            <w:r>
              <w:rPr>
                <w:rFonts w:ascii="Times New Roman" w:hAnsi="Times New Roman" w:eastAsia="仿宋_GB2312" w:cs="Times New Roman"/>
              </w:rPr>
              <w:t>2 提供企业在湖南省装配式建筑智能建造平台上传数据资料的证明</w:t>
            </w:r>
            <w:r>
              <w:rPr>
                <w:rFonts w:hint="eastAsia" w:ascii="Times New Roman" w:hAnsi="Times New Roman" w:eastAsia="仿宋_GB2312" w:cs="Times New Roman"/>
              </w:rPr>
              <w:t>；</w:t>
            </w:r>
          </w:p>
          <w:p>
            <w:pPr>
              <w:pStyle w:val="2"/>
              <w:rPr>
                <w:rFonts w:ascii="Times New Roman" w:hAnsi="Times New Roman" w:eastAsia="仿宋_GB2312" w:cs="Times New Roman"/>
              </w:rPr>
            </w:pPr>
            <w:r>
              <w:rPr>
                <w:rFonts w:hint="eastAsia" w:ascii="Times New Roman" w:hAnsi="Times New Roman" w:eastAsia="仿宋_GB2312" w:cs="Times New Roman"/>
              </w:rPr>
              <w:t>（尚未接入智能建造平台的企业须提供后续上传相关数据到智能建造平台的承诺书，并于22年12月31日前完成数据接入）</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color w:val="000000"/>
                <w:kern w:val="0"/>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134" w:type="dxa"/>
            <w:shd w:val="clear" w:color="auto" w:fill="auto"/>
            <w:vAlign w:val="center"/>
          </w:tcPr>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创新水平（5分）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具有装配式建筑相关专利技术1项，得2分，每多出1项，加1分，总得分不大于5分；</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提供企业获得已授权的专利证书</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568" w:type="dxa"/>
            <w:vMerge w:val="continue"/>
            <w:shd w:val="clear" w:color="auto" w:fill="auto"/>
            <w:noWrap/>
            <w:vAlign w:val="center"/>
          </w:tcPr>
          <w:p>
            <w:pPr>
              <w:jc w:val="center"/>
              <w:rPr>
                <w:rFonts w:ascii="Times New Roman" w:hAnsi="Times New Roman" w:eastAsia="仿宋_GB2312" w:cs="Times New Roman"/>
                <w:color w:val="000000"/>
                <w:szCs w:val="21"/>
              </w:rPr>
            </w:pPr>
          </w:p>
        </w:tc>
        <w:tc>
          <w:tcPr>
            <w:tcW w:w="708" w:type="dxa"/>
            <w:vMerge w:val="continue"/>
            <w:shd w:val="clear" w:color="auto" w:fill="auto"/>
            <w:vAlign w:val="center"/>
          </w:tcPr>
          <w:p>
            <w:pPr>
              <w:jc w:val="center"/>
              <w:rPr>
                <w:rFonts w:ascii="Times New Roman" w:hAnsi="Times New Roman" w:eastAsia="仿宋_GB2312" w:cs="Times New Roman"/>
                <w:b/>
                <w:bCs/>
                <w:color w:val="000000"/>
                <w:szCs w:val="21"/>
              </w:rPr>
            </w:pPr>
          </w:p>
        </w:tc>
        <w:tc>
          <w:tcPr>
            <w:tcW w:w="1134"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体系化</w:t>
            </w:r>
          </w:p>
          <w:p>
            <w:pPr>
              <w:widowControl/>
              <w:jc w:val="center"/>
              <w:textAlignment w:val="center"/>
              <w:rPr>
                <w:rFonts w:ascii="Times New Roman" w:hAnsi="Times New Roman" w:eastAsia="仿宋_GB2312" w:cs="Times New Roman"/>
              </w:rPr>
            </w:pPr>
            <w:r>
              <w:rPr>
                <w:rFonts w:ascii="Times New Roman" w:hAnsi="Times New Roman" w:eastAsia="仿宋_GB2312" w:cs="Times New Roman"/>
                <w:b/>
                <w:bCs/>
                <w:color w:val="000000"/>
                <w:kern w:val="0"/>
                <w:szCs w:val="21"/>
              </w:rPr>
              <w:t>建设</w:t>
            </w:r>
          </w:p>
          <w:p>
            <w:pPr>
              <w:widowControl/>
              <w:jc w:val="center"/>
              <w:textAlignment w:val="center"/>
              <w:rPr>
                <w:rFonts w:ascii="Times New Roman" w:hAnsi="Times New Roman" w:eastAsia="仿宋_GB2312" w:cs="Times New Roman"/>
                <w:b/>
                <w:bCs/>
                <w:color w:val="000000"/>
                <w:szCs w:val="21"/>
              </w:rPr>
            </w:pPr>
            <w:r>
              <w:rPr>
                <w:rFonts w:ascii="Times New Roman" w:hAnsi="Times New Roman" w:eastAsia="仿宋_GB2312" w:cs="Times New Roman"/>
                <w:b/>
                <w:bCs/>
                <w:color w:val="000000"/>
                <w:kern w:val="0"/>
                <w:szCs w:val="21"/>
              </w:rPr>
              <w:t>（5分）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主编或参编过2本装配式建筑省级或团体技术标准、规范及标准图集，得3分，每多出1本，加1分，总得分不大于5分；</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提供主参编单位中体现企业名称的已发布装配式建筑省级或团体技术标准、规范及标准图集，提交标准、规范、图集的封面及扉页证明</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2</w:t>
            </w:r>
          </w:p>
        </w:tc>
        <w:tc>
          <w:tcPr>
            <w:tcW w:w="708"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管理能力</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w:t>
            </w:r>
            <w:r>
              <w:rPr>
                <w:rFonts w:hint="eastAsia" w:ascii="Times New Roman" w:hAnsi="Times New Roman" w:eastAsia="仿宋_GB2312" w:cs="Times New Roman"/>
                <w:b/>
                <w:bCs/>
                <w:color w:val="000000"/>
                <w:kern w:val="0"/>
                <w:szCs w:val="21"/>
              </w:rPr>
              <w:t>20</w:t>
            </w:r>
            <w:r>
              <w:rPr>
                <w:rFonts w:ascii="Times New Roman" w:hAnsi="Times New Roman" w:eastAsia="仿宋_GB2312" w:cs="Times New Roman"/>
                <w:b/>
                <w:bCs/>
                <w:color w:val="000000"/>
                <w:kern w:val="0"/>
                <w:szCs w:val="21"/>
              </w:rPr>
              <w:t>分）</w:t>
            </w:r>
          </w:p>
        </w:tc>
        <w:tc>
          <w:tcPr>
            <w:tcW w:w="1134" w:type="dxa"/>
            <w:vMerge w:val="restart"/>
            <w:shd w:val="clear" w:color="auto" w:fill="auto"/>
            <w:vAlign w:val="center"/>
          </w:tcPr>
          <w:p>
            <w:pPr>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人员配置（10分）</w:t>
            </w:r>
          </w:p>
        </w:tc>
        <w:tc>
          <w:tcPr>
            <w:tcW w:w="4253" w:type="dxa"/>
            <w:gridSpan w:val="3"/>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企业总技术负责人具有3年以上从事装配式部品构件生产管理工作经历，且有高级工程师职称或一级建造师执业资格，得3分</w:t>
            </w:r>
            <w:r>
              <w:rPr>
                <w:rFonts w:hint="eastAsia" w:ascii="Times New Roman" w:hAnsi="Times New Roman" w:eastAsia="仿宋_GB2312" w:cs="Times New Roman"/>
              </w:rPr>
              <w:t>；</w:t>
            </w:r>
          </w:p>
        </w:tc>
        <w:tc>
          <w:tcPr>
            <w:tcW w:w="5869" w:type="dxa"/>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1 提供企业总技术负责人的劳动合同、3年的社保证明或工作证明等资料</w:t>
            </w:r>
            <w:r>
              <w:rPr>
                <w:rFonts w:hint="eastAsia" w:ascii="Times New Roman" w:hAnsi="Times New Roman" w:eastAsia="仿宋_GB2312" w:cs="Times New Roman"/>
              </w:rPr>
              <w:t>；</w:t>
            </w:r>
          </w:p>
          <w:p>
            <w:pPr>
              <w:pStyle w:val="2"/>
              <w:jc w:val="both"/>
              <w:rPr>
                <w:rFonts w:ascii="Times New Roman" w:hAnsi="Times New Roman" w:eastAsia="仿宋_GB2312" w:cs="Times New Roman"/>
              </w:rPr>
            </w:pPr>
            <w:r>
              <w:rPr>
                <w:rFonts w:ascii="Times New Roman" w:hAnsi="Times New Roman" w:eastAsia="仿宋_GB2312" w:cs="Times New Roman"/>
              </w:rPr>
              <w:t>2 提供企业总技术负责人的高级工程师职称或一级建造师执业资格证书</w:t>
            </w:r>
            <w:r>
              <w:rPr>
                <w:rFonts w:hint="eastAsia" w:ascii="Times New Roman" w:hAnsi="Times New Roman" w:eastAsia="仿宋_GB2312" w:cs="Times New Roman"/>
              </w:rPr>
              <w:t>；</w:t>
            </w:r>
          </w:p>
        </w:tc>
        <w:tc>
          <w:tcPr>
            <w:tcW w:w="1832" w:type="dxa"/>
            <w:shd w:val="clear" w:color="auto" w:fill="auto"/>
            <w:vAlign w:val="center"/>
          </w:tcPr>
          <w:p>
            <w:pPr>
              <w:pStyle w:val="2"/>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134" w:type="dxa"/>
            <w:vMerge w:val="continue"/>
            <w:shd w:val="clear" w:color="auto" w:fill="auto"/>
            <w:vAlign w:val="center"/>
          </w:tcPr>
          <w:p>
            <w:pPr>
              <w:jc w:val="center"/>
              <w:textAlignment w:val="center"/>
              <w:rPr>
                <w:rFonts w:ascii="Times New Roman" w:hAnsi="Times New Roman" w:eastAsia="仿宋_GB2312" w:cs="Times New Roman"/>
                <w:b/>
                <w:bCs/>
                <w:color w:val="000000"/>
                <w:kern w:val="0"/>
                <w:szCs w:val="21"/>
              </w:rPr>
            </w:pPr>
          </w:p>
        </w:tc>
        <w:tc>
          <w:tcPr>
            <w:tcW w:w="4253" w:type="dxa"/>
            <w:gridSpan w:val="3"/>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配备生产技术和质量管理人员、技术研发人员、质检员、资料员、试验员等，并符合相关生产要求，得2分，每缺1项工种，扣0.5分</w:t>
            </w:r>
            <w:r>
              <w:rPr>
                <w:rFonts w:hint="eastAsia" w:ascii="Times New Roman" w:hAnsi="Times New Roman" w:eastAsia="仿宋_GB2312" w:cs="Times New Roman"/>
              </w:rPr>
              <w:t>；</w:t>
            </w:r>
          </w:p>
        </w:tc>
        <w:tc>
          <w:tcPr>
            <w:tcW w:w="5869" w:type="dxa"/>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提供相关岗位人员的劳动合同及社保证明材料</w:t>
            </w:r>
            <w:r>
              <w:rPr>
                <w:rFonts w:hint="eastAsia" w:ascii="Times New Roman" w:hAnsi="Times New Roman" w:eastAsia="仿宋_GB2312" w:cs="Times New Roman"/>
              </w:rPr>
              <w:t>；</w:t>
            </w:r>
          </w:p>
        </w:tc>
        <w:tc>
          <w:tcPr>
            <w:tcW w:w="1832" w:type="dxa"/>
            <w:shd w:val="clear" w:color="auto" w:fill="auto"/>
            <w:vAlign w:val="center"/>
          </w:tcPr>
          <w:p>
            <w:pPr>
              <w:pStyle w:val="2"/>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p>
        </w:tc>
        <w:tc>
          <w:tcPr>
            <w:tcW w:w="1134" w:type="dxa"/>
            <w:vMerge w:val="continue"/>
            <w:shd w:val="clear" w:color="auto" w:fill="auto"/>
            <w:vAlign w:val="center"/>
          </w:tcPr>
          <w:p>
            <w:pPr>
              <w:jc w:val="center"/>
              <w:textAlignment w:val="center"/>
              <w:rPr>
                <w:rFonts w:ascii="Times New Roman" w:hAnsi="Times New Roman" w:eastAsia="仿宋_GB2312" w:cs="Times New Roman"/>
                <w:b/>
                <w:bCs/>
                <w:color w:val="000000"/>
                <w:kern w:val="0"/>
                <w:szCs w:val="21"/>
              </w:rPr>
            </w:pPr>
          </w:p>
        </w:tc>
        <w:tc>
          <w:tcPr>
            <w:tcW w:w="4253" w:type="dxa"/>
            <w:gridSpan w:val="3"/>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承担部品构件生产并具备专业操作技能培训合格证书的专业工人人数大于20人，得2分，每多出10人，加1分，总得分不大于5分</w:t>
            </w:r>
            <w:r>
              <w:rPr>
                <w:rFonts w:hint="eastAsia" w:ascii="Times New Roman" w:hAnsi="Times New Roman" w:eastAsia="仿宋_GB2312" w:cs="Times New Roman"/>
              </w:rPr>
              <w:t>；</w:t>
            </w:r>
          </w:p>
        </w:tc>
        <w:tc>
          <w:tcPr>
            <w:tcW w:w="5869" w:type="dxa"/>
            <w:shd w:val="clear" w:color="auto" w:fill="auto"/>
            <w:vAlign w:val="center"/>
          </w:tcPr>
          <w:p>
            <w:pPr>
              <w:pStyle w:val="2"/>
              <w:rPr>
                <w:rFonts w:ascii="Times New Roman" w:hAnsi="Times New Roman" w:eastAsia="仿宋_GB2312" w:cs="Times New Roman"/>
              </w:rPr>
            </w:pPr>
            <w:r>
              <w:rPr>
                <w:rFonts w:ascii="Times New Roman" w:hAnsi="Times New Roman" w:eastAsia="仿宋_GB2312" w:cs="Times New Roman"/>
              </w:rPr>
              <w:t>提供参与了专业操作技能培训的部品部件生产工人的劳动合同，培训合格证书等资料</w:t>
            </w:r>
            <w:r>
              <w:rPr>
                <w:rFonts w:hint="eastAsia" w:ascii="Times New Roman" w:hAnsi="Times New Roman" w:eastAsia="仿宋_GB2312" w:cs="Times New Roman"/>
              </w:rPr>
              <w:t>；</w:t>
            </w:r>
          </w:p>
          <w:p>
            <w:pPr>
              <w:pStyle w:val="2"/>
              <w:rPr>
                <w:rFonts w:ascii="Times New Roman" w:hAnsi="Times New Roman" w:eastAsia="仿宋_GB2312" w:cs="Times New Roman"/>
              </w:rPr>
            </w:pPr>
            <w:r>
              <w:rPr>
                <w:rFonts w:hint="eastAsia" w:ascii="Times New Roman" w:hAnsi="Times New Roman" w:eastAsia="仿宋_GB2312" w:cs="Times New Roman"/>
              </w:rPr>
              <w:t>（合格证书可由具备生产能力的企业开具，开具时间应比申报日期提前6个月以上）</w:t>
            </w:r>
          </w:p>
        </w:tc>
        <w:tc>
          <w:tcPr>
            <w:tcW w:w="1832" w:type="dxa"/>
            <w:shd w:val="clear" w:color="auto" w:fill="auto"/>
            <w:vAlign w:val="center"/>
          </w:tcPr>
          <w:p>
            <w:pPr>
              <w:pStyle w:val="2"/>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szCs w:val="21"/>
              </w:rPr>
            </w:pPr>
          </w:p>
        </w:tc>
        <w:tc>
          <w:tcPr>
            <w:tcW w:w="1134"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质量管理能力</w:t>
            </w:r>
          </w:p>
          <w:p>
            <w:pPr>
              <w:jc w:val="center"/>
              <w:textAlignment w:val="center"/>
              <w:rPr>
                <w:rFonts w:ascii="Times New Roman" w:hAnsi="Times New Roman" w:eastAsia="仿宋_GB2312" w:cs="Times New Roman"/>
              </w:rPr>
            </w:pPr>
            <w:r>
              <w:rPr>
                <w:rFonts w:ascii="Times New Roman" w:hAnsi="Times New Roman" w:eastAsia="仿宋_GB2312" w:cs="Times New Roman"/>
                <w:b/>
                <w:bCs/>
                <w:color w:val="000000"/>
                <w:kern w:val="0"/>
                <w:szCs w:val="21"/>
              </w:rPr>
              <w:t>（</w:t>
            </w:r>
            <w:r>
              <w:rPr>
                <w:rFonts w:hint="eastAsia" w:ascii="Times New Roman" w:hAnsi="Times New Roman" w:eastAsia="仿宋_GB2312" w:cs="Times New Roman"/>
                <w:b/>
                <w:bCs/>
                <w:color w:val="000000"/>
                <w:kern w:val="0"/>
                <w:szCs w:val="21"/>
              </w:rPr>
              <w:t>10</w:t>
            </w:r>
            <w:r>
              <w:rPr>
                <w:rFonts w:ascii="Times New Roman" w:hAnsi="Times New Roman" w:eastAsia="仿宋_GB2312" w:cs="Times New Roman"/>
                <w:b/>
                <w:bCs/>
                <w:color w:val="000000"/>
                <w:kern w:val="0"/>
                <w:szCs w:val="21"/>
              </w:rPr>
              <w:t>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出厂构件采用预埋芯片或粘贴二维码，并具有检验合格证、施工安装说明书，得5分</w:t>
            </w:r>
            <w:r>
              <w:rPr>
                <w:rFonts w:hint="eastAsia" w:ascii="Times New Roman" w:hAnsi="Times New Roman" w:eastAsia="仿宋_GB2312" w:cs="Times New Roman"/>
              </w:rPr>
              <w:t>；</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提供出厂构件采用预埋芯片或二维码的证明材料，提供后台的数据资料等作为佐证</w:t>
            </w:r>
            <w:r>
              <w:rPr>
                <w:rFonts w:hint="eastAsia" w:ascii="Times New Roman" w:hAnsi="Times New Roman" w:eastAsia="仿宋_GB2312" w:cs="Times New Roman"/>
              </w:rPr>
              <w:t>；</w:t>
            </w:r>
          </w:p>
        </w:tc>
        <w:tc>
          <w:tcPr>
            <w:tcW w:w="1832" w:type="dxa"/>
            <w:shd w:val="clear" w:color="auto" w:fill="auto"/>
            <w:vAlign w:val="center"/>
          </w:tcPr>
          <w:p>
            <w:pPr>
              <w:pStyle w:val="2"/>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1134" w:type="dxa"/>
            <w:vMerge w:val="continue"/>
            <w:shd w:val="clear" w:color="auto" w:fill="auto"/>
            <w:vAlign w:val="center"/>
          </w:tcPr>
          <w:p>
            <w:pPr>
              <w:pStyle w:val="2"/>
              <w:rPr>
                <w:rFonts w:ascii="Times New Roman" w:hAnsi="Times New Roman" w:eastAsia="仿宋_GB2312" w:cs="Times New Roman"/>
                <w:b/>
                <w:bCs/>
                <w:kern w:val="0"/>
                <w:szCs w:val="21"/>
                <w:highlight w:val="yellow"/>
              </w:rPr>
            </w:pP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预制部品部件质量均达到合格以上，得5分，有不合格记录，此项不能得分</w:t>
            </w:r>
            <w:r>
              <w:rPr>
                <w:rFonts w:hint="eastAsia" w:ascii="Times New Roman" w:hAnsi="Times New Roman" w:eastAsia="仿宋_GB2312" w:cs="Times New Roman"/>
              </w:rPr>
              <w:t>；</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提供部品部件出厂及进场验收质量合格证明文件；</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3</w:t>
            </w:r>
          </w:p>
        </w:tc>
        <w:tc>
          <w:tcPr>
            <w:tcW w:w="708" w:type="dxa"/>
            <w:vMerge w:val="restart"/>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工程业绩</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w:t>
            </w:r>
            <w:r>
              <w:rPr>
                <w:rFonts w:hint="eastAsia" w:ascii="Times New Roman" w:hAnsi="Times New Roman" w:eastAsia="仿宋_GB2312" w:cs="Times New Roman"/>
                <w:b/>
                <w:bCs/>
                <w:color w:val="000000"/>
                <w:kern w:val="0"/>
                <w:szCs w:val="21"/>
              </w:rPr>
              <w:t>30</w:t>
            </w:r>
            <w:r>
              <w:rPr>
                <w:rFonts w:ascii="Times New Roman" w:hAnsi="Times New Roman" w:eastAsia="仿宋_GB2312" w:cs="Times New Roman"/>
                <w:b/>
                <w:bCs/>
                <w:color w:val="000000"/>
                <w:kern w:val="0"/>
                <w:szCs w:val="21"/>
              </w:rPr>
              <w:t>分）</w:t>
            </w:r>
          </w:p>
        </w:tc>
        <w:tc>
          <w:tcPr>
            <w:tcW w:w="1134" w:type="dxa"/>
            <w:vMerge w:val="restart"/>
            <w:shd w:val="clear" w:color="auto" w:fill="auto"/>
            <w:vAlign w:val="center"/>
          </w:tcPr>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实施面积（25分，A、B项不同时计分）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A、近3年生产的预制构件累计应用于装配式建筑项目总建筑面积达到20万㎡以上，得10分，每多出5万㎡，加2分，总得分不大于25分；</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提供企业承担的装配式建筑项目的部品部件采购合同；</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 提供相关项目所采用的部品部件的生产验收资料、进场验收资料以及质监资料等</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b/>
                <w:bCs/>
                <w:szCs w:val="21"/>
              </w:rPr>
            </w:pPr>
          </w:p>
        </w:tc>
        <w:tc>
          <w:tcPr>
            <w:tcW w:w="1134" w:type="dxa"/>
            <w:vMerge w:val="continue"/>
            <w:shd w:val="clear" w:color="auto" w:fill="auto"/>
            <w:vAlign w:val="center"/>
          </w:tcPr>
          <w:p>
            <w:pPr>
              <w:widowControl/>
              <w:jc w:val="center"/>
              <w:textAlignment w:val="center"/>
              <w:rPr>
                <w:rFonts w:ascii="Times New Roman" w:hAnsi="Times New Roman" w:eastAsia="仿宋_GB2312" w:cs="Times New Roman"/>
                <w:b/>
                <w:bCs/>
                <w:szCs w:val="21"/>
              </w:rPr>
            </w:pP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B、近3年生产的装配式机电及装修部品累计应用于建筑项目总建筑面积达到10万㎡，得10分，每多出1万㎡，加1分，总得分不大于25分；</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提供企业承担的装配式建筑项目的部品部件采购合同；</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2 提供相关项目所采用的部品部件的生产验收资料、进场验收资料以及质监资料等</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b/>
                <w:bCs/>
                <w:szCs w:val="21"/>
              </w:rPr>
            </w:pPr>
          </w:p>
        </w:tc>
        <w:tc>
          <w:tcPr>
            <w:tcW w:w="1134" w:type="dxa"/>
            <w:shd w:val="clear" w:color="auto" w:fill="auto"/>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示范情况</w:t>
            </w:r>
          </w:p>
          <w:p>
            <w:pPr>
              <w:widowControl/>
              <w:jc w:val="center"/>
              <w:textAlignment w:val="center"/>
              <w:rPr>
                <w:rFonts w:ascii="Times New Roman" w:hAnsi="Times New Roman" w:eastAsia="仿宋_GB2312" w:cs="Times New Roman"/>
                <w:b/>
                <w:bCs/>
                <w:szCs w:val="21"/>
              </w:rPr>
            </w:pPr>
            <w:r>
              <w:rPr>
                <w:rFonts w:ascii="Times New Roman" w:hAnsi="Times New Roman" w:eastAsia="仿宋_GB2312" w:cs="Times New Roman"/>
                <w:b/>
                <w:bCs/>
                <w:color w:val="000000"/>
                <w:kern w:val="0"/>
                <w:szCs w:val="21"/>
              </w:rPr>
              <w:t>（5分）</w:t>
            </w:r>
          </w:p>
        </w:tc>
        <w:tc>
          <w:tcPr>
            <w:tcW w:w="4253" w:type="dxa"/>
            <w:gridSpan w:val="3"/>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完成供件项目获得省标A级及以上的装配式建筑评价不少于1项，得5分</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提供相关项目的部品部件采购合同证明及构件进场验收证明；</w:t>
            </w:r>
          </w:p>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 xml:space="preserve">2 </w:t>
            </w:r>
            <w:r>
              <w:rPr>
                <w:rFonts w:hint="eastAsia" w:ascii="Times New Roman" w:hAnsi="Times New Roman" w:eastAsia="仿宋_GB2312" w:cs="Times New Roman"/>
              </w:rPr>
              <w:t>提供相关项目按《湖南省绿色装配式建筑评价标准》出具的装配率计算书，并通过二维施工图审查或BIM施工图审查认可；</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4364" w:type="dxa"/>
            <w:gridSpan w:val="8"/>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可选分项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568"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序号</w:t>
            </w:r>
          </w:p>
        </w:tc>
        <w:tc>
          <w:tcPr>
            <w:tcW w:w="708"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评分要点</w:t>
            </w:r>
          </w:p>
        </w:tc>
        <w:tc>
          <w:tcPr>
            <w:tcW w:w="5387" w:type="dxa"/>
            <w:gridSpan w:val="4"/>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评分标准</w:t>
            </w:r>
          </w:p>
        </w:tc>
        <w:tc>
          <w:tcPr>
            <w:tcW w:w="5869"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ascii="Times New Roman" w:hAnsi="Times New Roman" w:eastAsia="仿宋_GB2312" w:cs="Times New Roman"/>
                <w:b/>
                <w:bCs/>
                <w:color w:val="000000"/>
                <w:kern w:val="0"/>
                <w:szCs w:val="21"/>
              </w:rPr>
              <w:t>建议提供佐证材料</w:t>
            </w:r>
          </w:p>
        </w:tc>
        <w:tc>
          <w:tcPr>
            <w:tcW w:w="1832" w:type="dxa"/>
            <w:shd w:val="clear" w:color="auto" w:fill="auto"/>
            <w:noWrap/>
            <w:vAlign w:val="center"/>
          </w:tcPr>
          <w:p>
            <w:pPr>
              <w:widowControl/>
              <w:jc w:val="center"/>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568" w:type="dxa"/>
            <w:vMerge w:val="restart"/>
            <w:shd w:val="clear" w:color="auto" w:fill="auto"/>
            <w:noWrap/>
            <w:vAlign w:val="center"/>
          </w:tcPr>
          <w:p>
            <w:pPr>
              <w:widowControl/>
              <w:jc w:val="center"/>
              <w:textAlignment w:val="center"/>
              <w:rPr>
                <w:rFonts w:ascii="Times New Roman" w:hAnsi="Times New Roman" w:eastAsia="仿宋_GB2312" w:cs="Times New Roman"/>
                <w:szCs w:val="21"/>
              </w:rPr>
            </w:pPr>
            <w:r>
              <w:rPr>
                <w:rFonts w:ascii="Times New Roman" w:hAnsi="Times New Roman" w:eastAsia="仿宋_GB2312" w:cs="Times New Roman"/>
                <w:kern w:val="0"/>
                <w:szCs w:val="21"/>
              </w:rPr>
              <w:t>4</w:t>
            </w:r>
          </w:p>
        </w:tc>
        <w:tc>
          <w:tcPr>
            <w:tcW w:w="708" w:type="dxa"/>
            <w:vMerge w:val="restart"/>
            <w:shd w:val="clear" w:color="auto" w:fill="auto"/>
            <w:vAlign w:val="center"/>
          </w:tcPr>
          <w:p>
            <w:pPr>
              <w:widowControl/>
              <w:jc w:val="center"/>
              <w:textAlignment w:val="center"/>
              <w:rPr>
                <w:rFonts w:ascii="Times New Roman" w:hAnsi="Times New Roman" w:eastAsia="仿宋_GB2312" w:cs="Times New Roman"/>
                <w:b/>
                <w:bCs/>
              </w:rPr>
            </w:pPr>
            <w:r>
              <w:rPr>
                <w:rFonts w:ascii="Times New Roman" w:hAnsi="Times New Roman" w:eastAsia="仿宋_GB2312" w:cs="Times New Roman"/>
                <w:b/>
                <w:bCs/>
              </w:rPr>
              <w:t>可选分项</w:t>
            </w:r>
          </w:p>
          <w:p>
            <w:pPr>
              <w:widowControl/>
              <w:jc w:val="center"/>
              <w:textAlignment w:val="center"/>
              <w:rPr>
                <w:rFonts w:ascii="Times New Roman" w:hAnsi="Times New Roman" w:eastAsia="仿宋_GB2312" w:cs="Times New Roman"/>
                <w:b/>
                <w:bCs/>
              </w:rPr>
            </w:pPr>
            <w:r>
              <w:rPr>
                <w:rFonts w:ascii="Times New Roman" w:hAnsi="Times New Roman" w:eastAsia="仿宋_GB2312" w:cs="Times New Roman"/>
                <w:b/>
                <w:bCs/>
              </w:rPr>
              <w:t>（每项5分，最多不超过20分）</w:t>
            </w:r>
          </w:p>
        </w:tc>
        <w:tc>
          <w:tcPr>
            <w:tcW w:w="5387" w:type="dxa"/>
            <w:gridSpan w:val="4"/>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1 </w:t>
            </w:r>
            <w:r>
              <w:rPr>
                <w:rFonts w:ascii="Times New Roman" w:hAnsi="Times New Roman" w:eastAsia="仿宋_GB2312" w:cs="Times New Roman"/>
              </w:rPr>
              <w:t>能够生产具备保温、隔声等建筑性能的集成化预制部品部件，得5分</w:t>
            </w:r>
            <w:r>
              <w:rPr>
                <w:rFonts w:hint="eastAsia" w:ascii="Times New Roman" w:hAnsi="Times New Roman" w:eastAsia="仿宋_GB2312" w:cs="Times New Roman"/>
              </w:rPr>
              <w:t>；</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提供企业生产具有建筑集成性能的预制部品部件的项目订单或采购合同</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568" w:type="dxa"/>
            <w:vMerge w:val="continue"/>
            <w:shd w:val="clear" w:color="auto" w:fill="auto"/>
            <w:noWrap/>
            <w:vAlign w:val="center"/>
          </w:tcPr>
          <w:p>
            <w:pPr>
              <w:widowControl/>
              <w:jc w:val="center"/>
              <w:textAlignment w:val="center"/>
              <w:rPr>
                <w:rFonts w:ascii="Times New Roman" w:hAnsi="Times New Roman" w:eastAsia="仿宋_GB2312" w:cs="Times New Roman"/>
                <w:kern w:val="0"/>
                <w:szCs w:val="21"/>
              </w:rPr>
            </w:pPr>
          </w:p>
        </w:tc>
        <w:tc>
          <w:tcPr>
            <w:tcW w:w="708" w:type="dxa"/>
            <w:vMerge w:val="continue"/>
            <w:shd w:val="clear" w:color="auto" w:fill="auto"/>
            <w:vAlign w:val="center"/>
          </w:tcPr>
          <w:p>
            <w:pPr>
              <w:widowControl/>
              <w:jc w:val="center"/>
              <w:textAlignment w:val="center"/>
              <w:rPr>
                <w:rFonts w:ascii="Times New Roman" w:hAnsi="Times New Roman" w:eastAsia="仿宋_GB2312" w:cs="Times New Roman"/>
                <w:b/>
                <w:bCs/>
                <w:kern w:val="0"/>
                <w:szCs w:val="21"/>
              </w:rPr>
            </w:pPr>
          </w:p>
        </w:tc>
        <w:tc>
          <w:tcPr>
            <w:tcW w:w="5387" w:type="dxa"/>
            <w:gridSpan w:val="4"/>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2 </w:t>
            </w:r>
            <w:r>
              <w:rPr>
                <w:rFonts w:ascii="Times New Roman" w:hAnsi="Times New Roman" w:eastAsia="仿宋_GB2312" w:cs="Times New Roman"/>
              </w:rPr>
              <w:t>企业在湖南省装配式建筑智能建造平台完成项目数据上传，得5分</w:t>
            </w:r>
            <w:r>
              <w:rPr>
                <w:rFonts w:hint="eastAsia" w:ascii="Times New Roman" w:hAnsi="Times New Roman" w:eastAsia="仿宋_GB2312" w:cs="Times New Roman"/>
              </w:rPr>
              <w:t>；</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提供企业在湖南省装配式建筑智能建造平台完成项目数据上传的证明</w:t>
            </w:r>
            <w:r>
              <w:rPr>
                <w:rFonts w:hint="eastAsia" w:ascii="Times New Roman" w:hAnsi="Times New Roman" w:eastAsia="仿宋_GB2312" w:cs="Times New Roman"/>
              </w:rPr>
              <w:t>；</w:t>
            </w:r>
          </w:p>
          <w:p>
            <w:pPr>
              <w:widowControl/>
              <w:jc w:val="left"/>
              <w:textAlignment w:val="center"/>
            </w:pPr>
            <w:r>
              <w:rPr>
                <w:rFonts w:hint="eastAsia" w:ascii="Times New Roman" w:hAnsi="Times New Roman" w:eastAsia="仿宋_GB2312" w:cs="Times New Roman"/>
              </w:rPr>
              <w:t>（尚未接入智能建造平台的企业须提供后续上传相关数据到智能建造平台的承诺书，并于22年12月31日前完成数据接入）</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szCs w:val="21"/>
              </w:rPr>
            </w:pPr>
          </w:p>
        </w:tc>
        <w:tc>
          <w:tcPr>
            <w:tcW w:w="5387" w:type="dxa"/>
            <w:gridSpan w:val="4"/>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3 </w:t>
            </w:r>
            <w:r>
              <w:rPr>
                <w:rFonts w:ascii="Times New Roman" w:hAnsi="Times New Roman" w:eastAsia="仿宋_GB2312" w:cs="Times New Roman"/>
              </w:rPr>
              <w:t>配备实验室建筑面积达到200</w:t>
            </w:r>
            <w:r>
              <w:rPr>
                <w:rFonts w:hint="eastAsia" w:ascii="Times New Roman" w:hAnsi="Times New Roman" w:eastAsia="仿宋_GB2312" w:cs="Times New Roman"/>
              </w:rPr>
              <w:t>m</w:t>
            </w:r>
            <w:r>
              <w:rPr>
                <w:rFonts w:hint="eastAsia" w:ascii="Times New Roman" w:hAnsi="Times New Roman" w:eastAsia="仿宋_GB2312" w:cs="Times New Roman"/>
                <w:vertAlign w:val="superscript"/>
              </w:rPr>
              <w:t>2</w:t>
            </w:r>
            <w:r>
              <w:rPr>
                <w:rFonts w:ascii="Times New Roman" w:hAnsi="Times New Roman" w:eastAsia="仿宋_GB2312" w:cs="Times New Roman"/>
              </w:rPr>
              <w:t>，实验室质量控制、设备及人员配置满足相关文件要求，得5分</w:t>
            </w:r>
            <w:r>
              <w:rPr>
                <w:rFonts w:hint="eastAsia" w:ascii="Times New Roman" w:hAnsi="Times New Roman" w:eastAsia="仿宋_GB2312" w:cs="Times New Roman"/>
              </w:rPr>
              <w:t>；</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ascii="Times New Roman" w:hAnsi="Times New Roman" w:eastAsia="仿宋_GB2312" w:cs="Times New Roman"/>
              </w:rPr>
              <w:t>1 提供企业实验室报建图纸，试验设备购置证明以及人员配置证明等；</w:t>
            </w:r>
          </w:p>
          <w:p>
            <w:pPr>
              <w:pStyle w:val="2"/>
              <w:rPr>
                <w:rFonts w:ascii="Times New Roman" w:hAnsi="Times New Roman" w:eastAsia="仿宋_GB2312" w:cs="Times New Roman"/>
              </w:rPr>
            </w:pPr>
            <w:r>
              <w:rPr>
                <w:rFonts w:ascii="Times New Roman" w:hAnsi="Times New Roman" w:eastAsia="仿宋_GB2312" w:cs="Times New Roman"/>
              </w:rPr>
              <w:t>2 可由地方主管部门现场踏勘后开具符合此项得分条件的声明材料</w:t>
            </w:r>
            <w:r>
              <w:rPr>
                <w:rFonts w:hint="eastAsia" w:ascii="Times New Roman" w:hAnsi="Times New Roman" w:eastAsia="仿宋_GB2312" w:cs="Times New Roman"/>
              </w:rPr>
              <w:t>；</w:t>
            </w:r>
          </w:p>
          <w:p>
            <w:pPr>
              <w:pStyle w:val="2"/>
              <w:rPr>
                <w:rFonts w:ascii="Times New Roman" w:hAnsi="Times New Roman" w:eastAsia="仿宋_GB2312" w:cs="Times New Roman"/>
              </w:rPr>
            </w:pPr>
            <w:r>
              <w:rPr>
                <w:rFonts w:hint="eastAsia" w:ascii="Times New Roman" w:hAnsi="Times New Roman" w:eastAsia="仿宋_GB2312" w:cs="Times New Roman"/>
              </w:rPr>
              <w:t>（</w:t>
            </w:r>
            <w:r>
              <w:rPr>
                <w:rFonts w:ascii="Times New Roman" w:hAnsi="Times New Roman" w:eastAsia="仿宋_GB2312" w:cs="Times New Roman"/>
              </w:rPr>
              <w:t>当没有1时提供2</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szCs w:val="21"/>
              </w:rPr>
            </w:pPr>
          </w:p>
        </w:tc>
        <w:tc>
          <w:tcPr>
            <w:tcW w:w="5387" w:type="dxa"/>
            <w:gridSpan w:val="4"/>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4 </w:t>
            </w:r>
            <w:r>
              <w:rPr>
                <w:rFonts w:ascii="Times New Roman" w:hAnsi="Times New Roman" w:eastAsia="仿宋_GB2312" w:cs="Times New Roman"/>
              </w:rPr>
              <w:t>完成供件项目获得省标A级及以上的装配式建筑评价不少于3项或AA级及以上的装配式混凝土建筑项目1项，得5分</w:t>
            </w:r>
            <w:r>
              <w:rPr>
                <w:rFonts w:hint="eastAsia" w:ascii="Times New Roman" w:hAnsi="Times New Roman" w:eastAsia="仿宋_GB2312" w:cs="Times New Roman"/>
              </w:rPr>
              <w:t>；</w:t>
            </w:r>
          </w:p>
        </w:tc>
        <w:tc>
          <w:tcPr>
            <w:tcW w:w="5869" w:type="dxa"/>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提供相关项目按《湖南省绿色装配式建筑评价标准》出具的装配率计算书，并通过二维施工图审查或BIM施工图审查认可；</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szCs w:val="21"/>
              </w:rPr>
            </w:pPr>
          </w:p>
        </w:tc>
        <w:tc>
          <w:tcPr>
            <w:tcW w:w="5387" w:type="dxa"/>
            <w:gridSpan w:val="4"/>
            <w:shd w:val="clear" w:color="auto" w:fill="auto"/>
            <w:vAlign w:val="center"/>
          </w:tcPr>
          <w:p>
            <w:pPr>
              <w:widowControl/>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5 </w:t>
            </w:r>
            <w:r>
              <w:rPr>
                <w:rFonts w:ascii="Times New Roman" w:hAnsi="Times New Roman" w:eastAsia="仿宋_GB2312" w:cs="Times New Roman"/>
              </w:rPr>
              <w:t>同时具备预制建筑、装饰、机电部品以及结构部件的生产能力，且分别完成部品部件类供件项目均不少于3项，得5分</w:t>
            </w:r>
            <w:r>
              <w:rPr>
                <w:rFonts w:hint="eastAsia" w:ascii="Times New Roman" w:hAnsi="Times New Roman" w:eastAsia="仿宋_GB2312" w:cs="Times New Roman"/>
              </w:rPr>
              <w:t>；</w:t>
            </w:r>
          </w:p>
        </w:tc>
        <w:tc>
          <w:tcPr>
            <w:tcW w:w="5869" w:type="dxa"/>
            <w:shd w:val="clear" w:color="auto" w:fill="auto"/>
            <w:vAlign w:val="center"/>
          </w:tcPr>
          <w:p>
            <w:pPr>
              <w:pStyle w:val="2"/>
              <w:rPr>
                <w:rFonts w:ascii="Times New Roman" w:hAnsi="Times New Roman" w:eastAsia="仿宋_GB2312" w:cs="Times New Roman"/>
              </w:rPr>
            </w:pPr>
            <w:r>
              <w:rPr>
                <w:rFonts w:hint="eastAsia" w:ascii="Times New Roman" w:hAnsi="Times New Roman" w:eastAsia="仿宋_GB2312" w:cs="Times New Roman"/>
              </w:rPr>
              <w:t>提供生产能力佐证材料及项目应用证明文件；</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szCs w:val="21"/>
              </w:rPr>
            </w:pPr>
          </w:p>
        </w:tc>
        <w:tc>
          <w:tcPr>
            <w:tcW w:w="5387" w:type="dxa"/>
            <w:gridSpan w:val="4"/>
            <w:shd w:val="clear" w:color="auto" w:fill="auto"/>
            <w:vAlign w:val="center"/>
          </w:tcPr>
          <w:p>
            <w:pPr>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6 </w:t>
            </w:r>
            <w:r>
              <w:rPr>
                <w:rFonts w:ascii="Times New Roman" w:hAnsi="Times New Roman" w:eastAsia="仿宋_GB2312" w:cs="Times New Roman"/>
              </w:rPr>
              <w:t>企业采用符合绿色化、工业化、信息化、集约化、产业化的创新技术应用证明</w:t>
            </w:r>
            <w:r>
              <w:rPr>
                <w:rFonts w:hint="eastAsia" w:ascii="Times New Roman" w:hAnsi="Times New Roman" w:eastAsia="仿宋_GB2312" w:cs="Times New Roman"/>
              </w:rPr>
              <w:t>；</w:t>
            </w:r>
          </w:p>
        </w:tc>
        <w:tc>
          <w:tcPr>
            <w:tcW w:w="5869" w:type="dxa"/>
            <w:shd w:val="clear" w:color="auto" w:fill="auto"/>
            <w:vAlign w:val="center"/>
          </w:tcPr>
          <w:p>
            <w:pPr>
              <w:jc w:val="left"/>
              <w:textAlignment w:val="center"/>
              <w:rPr>
                <w:rFonts w:ascii="Times New Roman" w:hAnsi="Times New Roman" w:eastAsia="仿宋_GB2312" w:cs="Times New Roman"/>
              </w:rPr>
            </w:pPr>
            <w:r>
              <w:rPr>
                <w:rFonts w:ascii="Times New Roman" w:hAnsi="Times New Roman" w:eastAsia="仿宋_GB2312" w:cs="Times New Roman"/>
              </w:rPr>
              <w:t>提供创新技术的相关佐证资料及在实际工程项目的实施证明等</w:t>
            </w:r>
            <w:r>
              <w:rPr>
                <w:rFonts w:hint="eastAsia" w:ascii="Times New Roman" w:hAnsi="Times New Roman" w:eastAsia="仿宋_GB2312" w:cs="Times New Roman"/>
              </w:rPr>
              <w:t>；</w:t>
            </w:r>
          </w:p>
        </w:tc>
        <w:tc>
          <w:tcPr>
            <w:tcW w:w="1832" w:type="dxa"/>
            <w:shd w:val="clear" w:color="auto" w:fill="auto"/>
            <w:vAlign w:val="center"/>
          </w:tcPr>
          <w:p>
            <w:pPr>
              <w:widowControl/>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8" w:type="dxa"/>
            <w:vMerge w:val="continue"/>
            <w:shd w:val="clear" w:color="auto" w:fill="auto"/>
            <w:noWrap/>
            <w:vAlign w:val="center"/>
          </w:tcPr>
          <w:p>
            <w:pPr>
              <w:jc w:val="center"/>
              <w:rPr>
                <w:rFonts w:ascii="Times New Roman" w:hAnsi="Times New Roman" w:eastAsia="仿宋_GB2312" w:cs="Times New Roman"/>
                <w:szCs w:val="21"/>
              </w:rPr>
            </w:pPr>
          </w:p>
        </w:tc>
        <w:tc>
          <w:tcPr>
            <w:tcW w:w="708" w:type="dxa"/>
            <w:vMerge w:val="continue"/>
            <w:shd w:val="clear" w:color="auto" w:fill="auto"/>
            <w:vAlign w:val="center"/>
          </w:tcPr>
          <w:p>
            <w:pPr>
              <w:jc w:val="center"/>
              <w:rPr>
                <w:rFonts w:ascii="Times New Roman" w:hAnsi="Times New Roman" w:eastAsia="仿宋_GB2312" w:cs="Times New Roman"/>
                <w:szCs w:val="21"/>
              </w:rPr>
            </w:pPr>
          </w:p>
        </w:tc>
        <w:tc>
          <w:tcPr>
            <w:tcW w:w="5387" w:type="dxa"/>
            <w:gridSpan w:val="4"/>
            <w:shd w:val="clear" w:color="auto" w:fill="auto"/>
            <w:vAlign w:val="center"/>
          </w:tcPr>
          <w:p>
            <w:pPr>
              <w:jc w:val="left"/>
              <w:textAlignment w:val="center"/>
              <w:rPr>
                <w:rFonts w:ascii="Times New Roman" w:hAnsi="Times New Roman" w:eastAsia="仿宋_GB2312" w:cs="Times New Roman"/>
              </w:rPr>
            </w:pPr>
            <w:r>
              <w:rPr>
                <w:rFonts w:hint="eastAsia" w:ascii="Times New Roman" w:hAnsi="Times New Roman" w:eastAsia="仿宋_GB2312" w:cs="Times New Roman"/>
              </w:rPr>
              <w:t xml:space="preserve">7 </w:t>
            </w:r>
            <w:r>
              <w:rPr>
                <w:rFonts w:ascii="Times New Roman" w:hAnsi="Times New Roman" w:eastAsia="仿宋_GB2312" w:cs="Times New Roman"/>
              </w:rPr>
              <w:t>参与项目获得《绿色建筑评价标准》GB/T50378一星级项目1项以上，得5分</w:t>
            </w:r>
            <w:r>
              <w:rPr>
                <w:rFonts w:hint="eastAsia" w:ascii="Times New Roman" w:hAnsi="Times New Roman" w:eastAsia="仿宋_GB2312" w:cs="Times New Roman"/>
              </w:rPr>
              <w:t>；</w:t>
            </w:r>
          </w:p>
          <w:p>
            <w:pPr>
              <w:jc w:val="left"/>
              <w:textAlignment w:val="center"/>
              <w:rPr>
                <w:rFonts w:ascii="Times New Roman" w:hAnsi="Times New Roman" w:eastAsia="仿宋_GB2312" w:cs="Times New Roman"/>
              </w:rPr>
            </w:pPr>
            <w:r>
              <w:rPr>
                <w:rFonts w:ascii="Times New Roman" w:hAnsi="Times New Roman" w:eastAsia="仿宋_GB2312" w:cs="Times New Roman"/>
              </w:rPr>
              <w:t>参与项目通过《绿色建筑评价标准》GB/T50378一星级预评价项目1项以上，得2分</w:t>
            </w:r>
            <w:r>
              <w:rPr>
                <w:rFonts w:hint="eastAsia" w:ascii="Times New Roman" w:hAnsi="Times New Roman" w:eastAsia="仿宋_GB2312" w:cs="Times New Roman"/>
              </w:rPr>
              <w:t>；</w:t>
            </w:r>
          </w:p>
        </w:tc>
        <w:tc>
          <w:tcPr>
            <w:tcW w:w="5869" w:type="dxa"/>
            <w:shd w:val="clear" w:color="auto" w:fill="auto"/>
            <w:vAlign w:val="center"/>
          </w:tcPr>
          <w:p>
            <w:pPr>
              <w:jc w:val="left"/>
              <w:textAlignment w:val="center"/>
              <w:rPr>
                <w:rFonts w:ascii="Times New Roman" w:hAnsi="Times New Roman" w:eastAsia="仿宋_GB2312" w:cs="Times New Roman"/>
              </w:rPr>
            </w:pPr>
            <w:r>
              <w:rPr>
                <w:rFonts w:ascii="Times New Roman" w:hAnsi="Times New Roman" w:eastAsia="仿宋_GB2312" w:cs="Times New Roman"/>
              </w:rPr>
              <w:t>1 项目绿色建筑预评价或绿色建筑设计或运营标识证书；</w:t>
            </w:r>
          </w:p>
          <w:p>
            <w:pPr>
              <w:jc w:val="left"/>
              <w:textAlignment w:val="center"/>
              <w:rPr>
                <w:rFonts w:ascii="Times New Roman" w:hAnsi="Times New Roman" w:eastAsia="仿宋_GB2312" w:cs="Times New Roman"/>
              </w:rPr>
            </w:pPr>
            <w:r>
              <w:rPr>
                <w:rFonts w:ascii="Times New Roman" w:hAnsi="Times New Roman" w:eastAsia="仿宋_GB2312" w:cs="Times New Roman"/>
              </w:rPr>
              <w:t>2 项目按照相关标准全套自评价资料；</w:t>
            </w:r>
          </w:p>
          <w:p>
            <w:pPr>
              <w:jc w:val="left"/>
              <w:textAlignment w:val="center"/>
              <w:rPr>
                <w:rFonts w:ascii="Times New Roman" w:hAnsi="Times New Roman" w:eastAsia="仿宋_GB2312" w:cs="Times New Roman"/>
              </w:rPr>
            </w:pPr>
            <w:r>
              <w:rPr>
                <w:rFonts w:ascii="Times New Roman" w:hAnsi="Times New Roman" w:eastAsia="仿宋_GB2312" w:cs="Times New Roman"/>
              </w:rPr>
              <w:t>（当没有1时提供2）</w:t>
            </w:r>
          </w:p>
        </w:tc>
        <w:tc>
          <w:tcPr>
            <w:tcW w:w="1832" w:type="dxa"/>
            <w:shd w:val="clear" w:color="auto" w:fill="auto"/>
            <w:vAlign w:val="center"/>
          </w:tcPr>
          <w:p>
            <w:pPr>
              <w:jc w:val="left"/>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32" w:type="dxa"/>
            <w:gridSpan w:val="7"/>
            <w:shd w:val="clear" w:color="auto" w:fill="auto"/>
            <w:noWrap/>
            <w:vAlign w:val="center"/>
          </w:tcPr>
          <w:p>
            <w:pPr>
              <w:widowControl/>
              <w:jc w:val="center"/>
              <w:textAlignment w:val="center"/>
              <w:rPr>
                <w:rFonts w:ascii="Times New Roman" w:hAnsi="Times New Roman" w:eastAsia="仿宋_GB2312" w:cs="Times New Roman"/>
              </w:rPr>
            </w:pPr>
            <w:r>
              <w:rPr>
                <w:rFonts w:hint="eastAsia" w:ascii="Times New Roman" w:hAnsi="Times New Roman" w:eastAsia="仿宋_GB2312" w:cs="Times New Roman"/>
                <w:b/>
                <w:bCs/>
                <w:color w:val="000000"/>
                <w:kern w:val="0"/>
                <w:szCs w:val="21"/>
              </w:rPr>
              <w:t>企业自评</w:t>
            </w:r>
            <w:r>
              <w:rPr>
                <w:rFonts w:ascii="Times New Roman" w:hAnsi="Times New Roman" w:eastAsia="仿宋_GB2312" w:cs="Times New Roman"/>
                <w:b/>
                <w:bCs/>
                <w:color w:val="000000"/>
                <w:kern w:val="0"/>
                <w:szCs w:val="21"/>
              </w:rPr>
              <w:t>总分</w:t>
            </w:r>
          </w:p>
        </w:tc>
        <w:tc>
          <w:tcPr>
            <w:tcW w:w="1832" w:type="dxa"/>
            <w:shd w:val="clear" w:color="auto" w:fill="auto"/>
            <w:vAlign w:val="center"/>
          </w:tcPr>
          <w:p>
            <w:pPr>
              <w:widowControl/>
              <w:jc w:val="center"/>
              <w:textAlignment w:val="center"/>
              <w:rPr>
                <w:rFonts w:ascii="Times New Roman" w:hAnsi="Times New Roman"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364" w:type="dxa"/>
            <w:gridSpan w:val="8"/>
            <w:shd w:val="clear" w:color="auto" w:fill="auto"/>
            <w:noWrap/>
            <w:vAlign w:val="center"/>
          </w:tcPr>
          <w:p>
            <w:pPr>
              <w:widowControl/>
              <w:jc w:val="left"/>
              <w:textAlignment w:val="center"/>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企业评审意见：</w:t>
            </w:r>
          </w:p>
          <w:p>
            <w:pPr>
              <w:pStyle w:val="2"/>
              <w:rPr>
                <w:rFonts w:ascii="Times New Roman" w:hAnsi="Times New Roman" w:eastAsia="仿宋_GB2312" w:cs="Times New Roman"/>
                <w:b/>
                <w:bCs/>
                <w:color w:val="000000"/>
                <w:kern w:val="0"/>
                <w:szCs w:val="21"/>
              </w:rPr>
            </w:pPr>
            <w:bookmarkStart w:id="0" w:name="_GoBack"/>
            <w:bookmarkEnd w:id="0"/>
          </w:p>
          <w:p>
            <w:pPr>
              <w:pStyle w:val="2"/>
              <w:rPr>
                <w:rFonts w:ascii="Times New Roman" w:hAnsi="Times New Roman" w:eastAsia="仿宋_GB2312" w:cs="Times New Roman"/>
                <w:b/>
                <w:bCs/>
                <w:color w:val="000000"/>
                <w:kern w:val="0"/>
                <w:szCs w:val="21"/>
              </w:rPr>
            </w:pPr>
          </w:p>
          <w:p>
            <w:pPr>
              <w:pStyle w:val="2"/>
              <w:ind w:right="420"/>
              <w:jc w:val="right"/>
              <w:rPr>
                <w:rFonts w:ascii="Times New Roman" w:hAnsi="Times New Roman" w:eastAsia="仿宋_GB2312" w:cs="Times New Roman"/>
                <w:b/>
                <w:bCs/>
                <w:color w:val="000000"/>
                <w:kern w:val="0"/>
                <w:szCs w:val="21"/>
              </w:rPr>
            </w:pPr>
            <w:r>
              <w:rPr>
                <w:rFonts w:hint="eastAsia" w:ascii="Times New Roman" w:hAnsi="Times New Roman" w:eastAsia="仿宋_GB2312" w:cs="Times New Roman"/>
                <w:b/>
                <w:bCs/>
                <w:color w:val="000000"/>
                <w:kern w:val="0"/>
                <w:szCs w:val="21"/>
              </w:rPr>
              <w:t>年      月      日</w:t>
            </w:r>
          </w:p>
          <w:p>
            <w:pPr>
              <w:pStyle w:val="2"/>
              <w:ind w:right="420" w:firstLine="10586" w:firstLineChars="5041"/>
              <w:rPr>
                <w:rFonts w:ascii="Times New Roman" w:hAnsi="Times New Roman" w:eastAsia="仿宋_GB2312" w:cs="Times New Roman"/>
              </w:rPr>
            </w:pPr>
          </w:p>
        </w:tc>
      </w:tr>
    </w:tbl>
    <w:p>
      <w:pPr>
        <w:pStyle w:val="2"/>
      </w:pPr>
    </w:p>
    <w:sectPr>
      <w:footerReference r:id="rId3" w:type="default"/>
      <w:pgSz w:w="16838" w:h="11906" w:orient="landscape"/>
      <w:pgMar w:top="1304" w:right="1797" w:bottom="1304" w:left="1797" w:header="851" w:footer="992" w:gutter="0"/>
      <w:pgNumType w:start="1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05178FBA-B200-4BF6-9946-AB8204F37788}"/>
  </w:font>
  <w:font w:name="仿宋_GB2312">
    <w:panose1 w:val="02010609030101010101"/>
    <w:charset w:val="86"/>
    <w:family w:val="modern"/>
    <w:pitch w:val="default"/>
    <w:sig w:usb0="00000001" w:usb1="080E0000" w:usb2="00000000" w:usb3="00000000" w:csb0="00040000" w:csb1="00000000"/>
    <w:embedRegular r:id="rId2" w:fontKey="{9F507782-EBCD-4DAB-B421-CE4B3AFFA60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4336492"/>
      <w:docPartObj>
        <w:docPartGallery w:val="autotext"/>
      </w:docPartObj>
    </w:sdtPr>
    <w:sdtEndPr>
      <w:rPr>
        <w:rFonts w:ascii="宋体" w:hAnsi="宋体"/>
        <w:sz w:val="28"/>
        <w:szCs w:val="28"/>
      </w:rPr>
    </w:sdtEndPr>
    <w:sdtContent>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17</w:t>
        </w:r>
        <w:r>
          <w:rPr>
            <w:rFonts w:ascii="宋体" w:hAnsi="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g3OTY1YzkwNmVjNWIzMTgyNTczOTY0YmIxZmQwN2YifQ=="/>
  </w:docVars>
  <w:rsids>
    <w:rsidRoot w:val="001221F5"/>
    <w:rsid w:val="00120500"/>
    <w:rsid w:val="001221F5"/>
    <w:rsid w:val="00154F18"/>
    <w:rsid w:val="001C6699"/>
    <w:rsid w:val="002561F5"/>
    <w:rsid w:val="002B4F23"/>
    <w:rsid w:val="003345F1"/>
    <w:rsid w:val="004926FD"/>
    <w:rsid w:val="00635BBE"/>
    <w:rsid w:val="00673010"/>
    <w:rsid w:val="0069711F"/>
    <w:rsid w:val="006C10E2"/>
    <w:rsid w:val="006D53D1"/>
    <w:rsid w:val="00757A4D"/>
    <w:rsid w:val="007D5AC9"/>
    <w:rsid w:val="00863F7B"/>
    <w:rsid w:val="00875F13"/>
    <w:rsid w:val="00884CB2"/>
    <w:rsid w:val="00903836"/>
    <w:rsid w:val="00925B3A"/>
    <w:rsid w:val="009D59DF"/>
    <w:rsid w:val="00A729BB"/>
    <w:rsid w:val="00A742C4"/>
    <w:rsid w:val="00B346B7"/>
    <w:rsid w:val="00B6257C"/>
    <w:rsid w:val="00C62EBA"/>
    <w:rsid w:val="00D9519D"/>
    <w:rsid w:val="00E57176"/>
    <w:rsid w:val="00EE771B"/>
    <w:rsid w:val="00FB2DDD"/>
    <w:rsid w:val="04216DB0"/>
    <w:rsid w:val="067074A7"/>
    <w:rsid w:val="08BC39AA"/>
    <w:rsid w:val="0A485678"/>
    <w:rsid w:val="0D6316ED"/>
    <w:rsid w:val="0E3D55B9"/>
    <w:rsid w:val="10343FF5"/>
    <w:rsid w:val="11FD79A7"/>
    <w:rsid w:val="133E2C0E"/>
    <w:rsid w:val="190226F1"/>
    <w:rsid w:val="1CCD3443"/>
    <w:rsid w:val="21050EA9"/>
    <w:rsid w:val="2BCB5455"/>
    <w:rsid w:val="2E4D6611"/>
    <w:rsid w:val="318B75D2"/>
    <w:rsid w:val="326F2B46"/>
    <w:rsid w:val="33A94FA5"/>
    <w:rsid w:val="33ED0BA6"/>
    <w:rsid w:val="33FFA428"/>
    <w:rsid w:val="347519C0"/>
    <w:rsid w:val="34BF0444"/>
    <w:rsid w:val="357101F7"/>
    <w:rsid w:val="3EF6C083"/>
    <w:rsid w:val="3F714A82"/>
    <w:rsid w:val="42E72276"/>
    <w:rsid w:val="4564312A"/>
    <w:rsid w:val="467E2DDB"/>
    <w:rsid w:val="4B7BBA12"/>
    <w:rsid w:val="4DF7766D"/>
    <w:rsid w:val="4E7858B4"/>
    <w:rsid w:val="4EEB758D"/>
    <w:rsid w:val="5356DB71"/>
    <w:rsid w:val="53C84569"/>
    <w:rsid w:val="552C7C40"/>
    <w:rsid w:val="56D5550F"/>
    <w:rsid w:val="56E116D0"/>
    <w:rsid w:val="57B80B3C"/>
    <w:rsid w:val="593F704B"/>
    <w:rsid w:val="5A9F976C"/>
    <w:rsid w:val="5B623201"/>
    <w:rsid w:val="5CA16D67"/>
    <w:rsid w:val="5EFF7927"/>
    <w:rsid w:val="5FED8DC6"/>
    <w:rsid w:val="614D3EB8"/>
    <w:rsid w:val="63B62B60"/>
    <w:rsid w:val="63FD1204"/>
    <w:rsid w:val="647C5F29"/>
    <w:rsid w:val="66197C0F"/>
    <w:rsid w:val="68940F0D"/>
    <w:rsid w:val="6F8F0CED"/>
    <w:rsid w:val="71582D2F"/>
    <w:rsid w:val="760D174A"/>
    <w:rsid w:val="762956B4"/>
    <w:rsid w:val="76AC11EB"/>
    <w:rsid w:val="77877419"/>
    <w:rsid w:val="7BF5061A"/>
    <w:rsid w:val="7CF6B416"/>
    <w:rsid w:val="7FB79B3E"/>
    <w:rsid w:val="7FD417FD"/>
    <w:rsid w:val="7FFB0583"/>
    <w:rsid w:val="7FFF9195"/>
    <w:rsid w:val="9FFF6D85"/>
    <w:rsid w:val="BBFDEAA0"/>
    <w:rsid w:val="BFBE9A35"/>
    <w:rsid w:val="EECFB08B"/>
    <w:rsid w:val="EF2EC42E"/>
    <w:rsid w:val="EFFE65F3"/>
    <w:rsid w:val="F4FE1245"/>
    <w:rsid w:val="FDBD5101"/>
    <w:rsid w:val="FED0B5C7"/>
    <w:rsid w:val="FF6F3974"/>
    <w:rsid w:val="FFBB7AE9"/>
    <w:rsid w:val="FFEF579E"/>
    <w:rsid w:val="FFFECD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annotation reference"/>
    <w:basedOn w:val="7"/>
    <w:qFormat/>
    <w:uiPriority w:val="0"/>
    <w:rPr>
      <w:sz w:val="21"/>
      <w:szCs w:val="21"/>
    </w:rPr>
  </w:style>
  <w:style w:type="character" w:customStyle="1" w:styleId="9">
    <w:name w:val="页脚 Char"/>
    <w:basedOn w:val="7"/>
    <w:link w:val="3"/>
    <w:qFormat/>
    <w:uiPriority w:val="99"/>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Win10NeT.COM</Company>
  <Pages>4</Pages>
  <Words>2847</Words>
  <Characters>2909</Characters>
  <Lines>22</Lines>
  <Paragraphs>6</Paragraphs>
  <TotalTime>11</TotalTime>
  <ScaleCrop>false</ScaleCrop>
  <LinksUpToDate>false</LinksUpToDate>
  <CharactersWithSpaces>2973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2022-05-05T09:31:00Z</dcterms:created>
  <dc:creator>Administrator</dc:creator>
  <cp:lastModifiedBy>11974</cp:lastModifiedBy>
  <cp:lastPrinted>2022-06-17T09:53:00Z</cp:lastPrinted>
  <dcterms:modified xsi:type="dcterms:W3CDTF">2022-10-10T04:52:56Z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3D25FE0B1CD640518E006693E6FD0D42</vt:lpwstr>
  </property>
</Properties>
</file>