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方正小标宋简体" w:cs="Times New Roman"/>
          <w:sz w:val="18"/>
          <w:szCs w:val="18"/>
        </w:rPr>
      </w:pPr>
    </w:p>
    <w:p>
      <w:pP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附</w:t>
      </w:r>
      <w:r>
        <w:rPr>
          <w:rFonts w:hint="eastAsia" w:ascii="Times New Roman" w:hAnsi="Times New Roman" w:eastAsia="方正小标宋简体" w:cs="Times New Roman"/>
          <w:sz w:val="36"/>
          <w:szCs w:val="36"/>
        </w:rPr>
        <w:t xml:space="preserve">件3-2  </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rPr>
        <w:t xml:space="preserve">        </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rPr>
        <w:t>湖南省</w:t>
      </w:r>
      <w:r>
        <w:rPr>
          <w:rFonts w:ascii="Times New Roman" w:hAnsi="Times New Roman" w:eastAsia="方正小标宋简体" w:cs="Times New Roman"/>
          <w:sz w:val="36"/>
          <w:szCs w:val="36"/>
        </w:rPr>
        <w:t>设计类装配式建筑产业基地</w:t>
      </w:r>
      <w:r>
        <w:rPr>
          <w:rFonts w:hint="eastAsia" w:ascii="Times New Roman" w:hAnsi="Times New Roman" w:eastAsia="方正小标宋简体" w:cs="Times New Roman"/>
          <w:sz w:val="36"/>
          <w:szCs w:val="36"/>
        </w:rPr>
        <w:t>自评表</w:t>
      </w:r>
    </w:p>
    <w:p>
      <w:pPr>
        <w:pStyle w:val="2"/>
        <w:rPr>
          <w:rFonts w:ascii="方正小标宋简体" w:hAnsi="方正小标宋简体" w:eastAsia="方正小标宋简体" w:cs="方正小标宋简体"/>
          <w:sz w:val="18"/>
          <w:szCs w:val="18"/>
        </w:rPr>
      </w:pPr>
    </w:p>
    <w:p>
      <w:pPr>
        <w:pStyle w:val="2"/>
        <w:rPr>
          <w:rFonts w:ascii="方正小标宋简体" w:hAnsi="方正小标宋简体" w:eastAsia="方正小标宋简体" w:cs="方正小标宋简体"/>
          <w:sz w:val="18"/>
          <w:szCs w:val="18"/>
        </w:rPr>
      </w:pPr>
    </w:p>
    <w:tbl>
      <w:tblPr>
        <w:tblStyle w:val="6"/>
        <w:tblW w:w="14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076"/>
        <w:gridCol w:w="1075"/>
        <w:gridCol w:w="3891"/>
        <w:gridCol w:w="487"/>
        <w:gridCol w:w="5371"/>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3" w:type="dxa"/>
            <w:gridSpan w:val="5"/>
            <w:tcBorders>
              <w:top w:val="nil"/>
              <w:left w:val="nil"/>
              <w:bottom w:val="single" w:color="auto" w:sz="4" w:space="0"/>
              <w:right w:val="nil"/>
            </w:tcBorders>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企业名称：</w:t>
            </w:r>
          </w:p>
        </w:tc>
        <w:tc>
          <w:tcPr>
            <w:tcW w:w="7254" w:type="dxa"/>
            <w:gridSpan w:val="2"/>
            <w:tcBorders>
              <w:top w:val="nil"/>
              <w:left w:val="nil"/>
              <w:bottom w:val="single" w:color="auto" w:sz="4" w:space="0"/>
              <w:right w:val="nil"/>
            </w:tcBorders>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市州：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507" w:type="dxa"/>
            <w:gridSpan w:val="7"/>
            <w:tcBorders>
              <w:top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控制项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66" w:type="dxa"/>
            <w:gridSpan w:val="4"/>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b/>
                <w:bCs/>
                <w:color w:val="000000"/>
                <w:kern w:val="0"/>
                <w:szCs w:val="21"/>
              </w:rPr>
              <w:t>要点</w:t>
            </w:r>
          </w:p>
        </w:tc>
        <w:tc>
          <w:tcPr>
            <w:tcW w:w="5858" w:type="dxa"/>
            <w:gridSpan w:val="2"/>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883"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66"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 xml:space="preserve"> </w:t>
            </w:r>
            <w:r>
              <w:rPr>
                <w:rFonts w:ascii="Times New Roman" w:hAnsi="Times New Roman" w:eastAsia="仿宋_GB2312" w:cs="Times New Roman"/>
              </w:rPr>
              <w:t>具有建筑行业（建筑工程）甲级或工程设计综合甲级设计资质；</w:t>
            </w:r>
          </w:p>
        </w:tc>
        <w:tc>
          <w:tcPr>
            <w:tcW w:w="5858" w:type="dxa"/>
            <w:gridSpan w:val="2"/>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提供有效期限内的设计资质证明</w:t>
            </w:r>
            <w:r>
              <w:rPr>
                <w:rFonts w:hint="eastAsia" w:ascii="Times New Roman" w:hAnsi="Times New Roman" w:eastAsia="仿宋_GB2312" w:cs="Times New Roman"/>
              </w:rPr>
              <w:t>；</w:t>
            </w:r>
          </w:p>
        </w:tc>
        <w:tc>
          <w:tcPr>
            <w:tcW w:w="1883" w:type="dxa"/>
            <w:shd w:val="clear" w:color="auto" w:fill="auto"/>
            <w:noWrap/>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6766"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2</w:t>
            </w:r>
            <w:r>
              <w:rPr>
                <w:rFonts w:hint="eastAsia" w:ascii="Times New Roman" w:hAnsi="Times New Roman" w:eastAsia="仿宋_GB2312" w:cs="Times New Roman"/>
              </w:rPr>
              <w:t xml:space="preserve"> </w:t>
            </w:r>
            <w:r>
              <w:rPr>
                <w:rFonts w:ascii="Times New Roman" w:hAnsi="Times New Roman" w:eastAsia="仿宋_GB2312" w:cs="Times New Roman"/>
              </w:rPr>
              <w:t>企业通过质量、安全、健康体系认证，制定了完善的技术、质量、安全和档案管理制度；</w:t>
            </w:r>
          </w:p>
        </w:tc>
        <w:tc>
          <w:tcPr>
            <w:tcW w:w="5858" w:type="dxa"/>
            <w:gridSpan w:val="2"/>
            <w:shd w:val="clear" w:color="auto" w:fill="auto"/>
            <w:noWrap/>
            <w:vAlign w:val="center"/>
          </w:tcPr>
          <w:p>
            <w:pPr>
              <w:widowControl/>
              <w:textAlignment w:val="center"/>
              <w:rPr>
                <w:rFonts w:ascii="Times New Roman" w:hAnsi="Times New Roman" w:eastAsia="仿宋_GB2312" w:cs="Times New Roman"/>
              </w:rPr>
            </w:pPr>
            <w:r>
              <w:rPr>
                <w:rFonts w:hint="eastAsia" w:ascii="Times New Roman" w:hAnsi="Times New Roman" w:eastAsia="仿宋_GB2312" w:cs="Times New Roman"/>
              </w:rPr>
              <w:t xml:space="preserve">1 </w:t>
            </w:r>
            <w:r>
              <w:rPr>
                <w:rFonts w:ascii="Times New Roman" w:hAnsi="Times New Roman" w:eastAsia="仿宋_GB2312" w:cs="Times New Roman"/>
              </w:rPr>
              <w:t>提供有效期内的相关认证材料</w:t>
            </w:r>
            <w:r>
              <w:rPr>
                <w:rFonts w:hint="eastAsia" w:ascii="Times New Roman" w:hAnsi="Times New Roman" w:eastAsia="仿宋_GB2312" w:cs="Times New Roman"/>
              </w:rPr>
              <w:t>；</w:t>
            </w:r>
          </w:p>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2 </w:t>
            </w:r>
            <w:r>
              <w:rPr>
                <w:rFonts w:ascii="Times New Roman" w:hAnsi="Times New Roman" w:eastAsia="仿宋_GB2312" w:cs="Times New Roman"/>
              </w:rPr>
              <w:t>提供企业技术、质量、安全和档案管理制度，并附执行情况证明材料</w:t>
            </w:r>
            <w:r>
              <w:rPr>
                <w:rFonts w:hint="eastAsia" w:ascii="Times New Roman" w:hAnsi="Times New Roman" w:eastAsia="仿宋_GB2312" w:cs="Times New Roman"/>
              </w:rPr>
              <w:t>；</w:t>
            </w:r>
          </w:p>
        </w:tc>
        <w:tc>
          <w:tcPr>
            <w:tcW w:w="1883" w:type="dxa"/>
            <w:shd w:val="clear" w:color="auto" w:fill="auto"/>
            <w:noWrap/>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66"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3 有固定的科研、设计场所，拥有先进的科研技术装备一套以上，拥有满足装配式建筑BIM设计软件一套以上；</w:t>
            </w:r>
          </w:p>
        </w:tc>
        <w:tc>
          <w:tcPr>
            <w:tcW w:w="5858" w:type="dxa"/>
            <w:gridSpan w:val="2"/>
            <w:shd w:val="clear" w:color="auto" w:fill="auto"/>
            <w:noWrap/>
            <w:vAlign w:val="center"/>
          </w:tcPr>
          <w:p>
            <w:pPr>
              <w:widowControl/>
              <w:textAlignment w:val="center"/>
              <w:rPr>
                <w:rFonts w:ascii="Times New Roman" w:hAnsi="Times New Roman" w:eastAsia="仿宋_GB2312" w:cs="Times New Roman"/>
              </w:rPr>
            </w:pPr>
            <w:r>
              <w:rPr>
                <w:rFonts w:ascii="Times New Roman" w:hAnsi="Times New Roman" w:eastAsia="仿宋_GB2312" w:cs="Times New Roman"/>
              </w:rPr>
              <w:t>1 提供固定资产证明；</w:t>
            </w:r>
          </w:p>
          <w:p>
            <w:pPr>
              <w:widowControl/>
              <w:textAlignment w:val="center"/>
              <w:rPr>
                <w:rFonts w:ascii="Times New Roman" w:hAnsi="Times New Roman" w:eastAsia="仿宋_GB2312" w:cs="Times New Roman"/>
              </w:rPr>
            </w:pPr>
            <w:r>
              <w:rPr>
                <w:rFonts w:ascii="Times New Roman" w:hAnsi="Times New Roman" w:eastAsia="仿宋_GB2312" w:cs="Times New Roman"/>
              </w:rPr>
              <w:t>2 提供科研技术装备的购买证明；</w:t>
            </w:r>
          </w:p>
          <w:p>
            <w:pPr>
              <w:widowControl/>
              <w:textAlignment w:val="center"/>
              <w:rPr>
                <w:rFonts w:ascii="Times New Roman" w:hAnsi="Times New Roman" w:eastAsia="仿宋_GB2312" w:cs="Times New Roman"/>
              </w:rPr>
            </w:pPr>
            <w:r>
              <w:rPr>
                <w:rFonts w:ascii="Times New Roman" w:hAnsi="Times New Roman" w:eastAsia="仿宋_GB2312" w:cs="Times New Roman"/>
              </w:rPr>
              <w:t>3 提供装配式建筑BIM设计软件的购买证明；</w:t>
            </w:r>
          </w:p>
          <w:p>
            <w:pPr>
              <w:widowControl/>
              <w:textAlignment w:val="center"/>
              <w:rPr>
                <w:rFonts w:ascii="Times New Roman" w:hAnsi="Times New Roman" w:eastAsia="仿宋_GB2312" w:cs="Times New Roman"/>
              </w:rPr>
            </w:pPr>
            <w:r>
              <w:rPr>
                <w:rFonts w:ascii="Times New Roman" w:hAnsi="Times New Roman" w:eastAsia="仿宋_GB2312" w:cs="Times New Roman"/>
              </w:rPr>
              <w:t>4 可由企业所在地主管部门现场踏勘后，开具满足评价条件的相关证明</w:t>
            </w:r>
            <w:r>
              <w:rPr>
                <w:rFonts w:hint="eastAsia" w:ascii="Times New Roman" w:hAnsi="Times New Roman" w:eastAsia="仿宋_GB2312" w:cs="Times New Roman"/>
              </w:rPr>
              <w:t>；</w:t>
            </w:r>
          </w:p>
          <w:p>
            <w:pPr>
              <w:widowControl/>
              <w:textAlignment w:val="center"/>
            </w:pPr>
            <w:r>
              <w:rPr>
                <w:rFonts w:hint="eastAsia" w:ascii="Times New Roman" w:hAnsi="Times New Roman" w:eastAsia="仿宋_GB2312" w:cs="Times New Roman"/>
              </w:rPr>
              <w:t>（对于1、2、3项材料有缺失的企业，可通过材料4进行补充证明）</w:t>
            </w:r>
          </w:p>
        </w:tc>
        <w:tc>
          <w:tcPr>
            <w:tcW w:w="1883" w:type="dxa"/>
            <w:shd w:val="clear" w:color="auto" w:fill="auto"/>
            <w:noWrap/>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66"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4 </w:t>
            </w:r>
            <w:r>
              <w:rPr>
                <w:rFonts w:ascii="Times New Roman" w:hAnsi="Times New Roman" w:eastAsia="仿宋_GB2312" w:cs="Times New Roman"/>
              </w:rPr>
              <w:t>企业信誉良好，无不良行为记录；</w:t>
            </w:r>
          </w:p>
        </w:tc>
        <w:tc>
          <w:tcPr>
            <w:tcW w:w="5858" w:type="dxa"/>
            <w:gridSpan w:val="2"/>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提供企业近3年资信情况证明</w:t>
            </w:r>
            <w:r>
              <w:rPr>
                <w:rFonts w:hint="eastAsia" w:ascii="Times New Roman" w:hAnsi="Times New Roman" w:eastAsia="仿宋_GB2312" w:cs="Times New Roman"/>
              </w:rPr>
              <w:t>；</w:t>
            </w:r>
          </w:p>
        </w:tc>
        <w:tc>
          <w:tcPr>
            <w:tcW w:w="1883" w:type="dxa"/>
            <w:shd w:val="clear" w:color="auto" w:fill="auto"/>
            <w:noWrap/>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66"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5.申报当年不得发生一般及以上相关安全事故，且近3年不得发生较大相关安全和质量事故；</w:t>
            </w:r>
          </w:p>
        </w:tc>
        <w:tc>
          <w:tcPr>
            <w:tcW w:w="5858" w:type="dxa"/>
            <w:gridSpan w:val="2"/>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企业提供近3年无重大质量、安全、环保责任事故承诺函</w:t>
            </w:r>
            <w:r>
              <w:rPr>
                <w:rFonts w:hint="eastAsia" w:ascii="Times New Roman" w:hAnsi="Times New Roman" w:eastAsia="仿宋_GB2312" w:cs="Times New Roman"/>
              </w:rPr>
              <w:t>；</w:t>
            </w:r>
          </w:p>
        </w:tc>
        <w:tc>
          <w:tcPr>
            <w:tcW w:w="1883" w:type="dxa"/>
            <w:shd w:val="clear" w:color="auto" w:fill="auto"/>
            <w:noWrap/>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66"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6.完成省标A级以上的装配式建筑设计项目1个以上；</w:t>
            </w:r>
          </w:p>
        </w:tc>
        <w:tc>
          <w:tcPr>
            <w:tcW w:w="5858" w:type="dxa"/>
            <w:gridSpan w:val="2"/>
            <w:shd w:val="clear" w:color="auto" w:fill="auto"/>
            <w:noWrap/>
            <w:vAlign w:val="center"/>
          </w:tcPr>
          <w:p>
            <w:pPr>
              <w:widowControl/>
              <w:textAlignment w:val="center"/>
              <w:rPr>
                <w:rFonts w:eastAsia="仿宋_GB2312"/>
              </w:rPr>
            </w:pPr>
            <w:r>
              <w:rPr>
                <w:rFonts w:hint="eastAsia" w:ascii="Times New Roman" w:hAnsi="Times New Roman" w:eastAsia="仿宋_GB2312" w:cs="Times New Roman"/>
              </w:rPr>
              <w:t>提供相关项目按《湖南省绿色装配式建筑评价标准》出具的装配率计算书，并通过二维施工图审查或BIM施工图审查认可；</w:t>
            </w:r>
          </w:p>
        </w:tc>
        <w:tc>
          <w:tcPr>
            <w:tcW w:w="1883" w:type="dxa"/>
            <w:shd w:val="clear" w:color="auto" w:fill="auto"/>
            <w:noWrap/>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66"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7.承担装配式建筑项目实施总面积不小于20万</w:t>
            </w:r>
            <w:r>
              <w:rPr>
                <w:rFonts w:hint="eastAsia" w:ascii="Times New Roman" w:hAnsi="Times New Roman" w:eastAsia="仿宋_GB2312" w:cs="Times New Roman"/>
              </w:rPr>
              <w:t>m</w:t>
            </w:r>
            <w:r>
              <w:rPr>
                <w:rFonts w:hint="eastAsia" w:ascii="Times New Roman" w:hAnsi="Times New Roman" w:eastAsia="仿宋_GB2312" w:cs="Times New Roman"/>
                <w:vertAlign w:val="superscript"/>
              </w:rPr>
              <w:t>2</w:t>
            </w:r>
            <w:r>
              <w:rPr>
                <w:rFonts w:ascii="Times New Roman" w:hAnsi="Times New Roman" w:eastAsia="仿宋_GB2312" w:cs="Times New Roman"/>
              </w:rPr>
              <w:t>。</w:t>
            </w:r>
          </w:p>
        </w:tc>
        <w:tc>
          <w:tcPr>
            <w:tcW w:w="5858" w:type="dxa"/>
            <w:gridSpan w:val="2"/>
            <w:shd w:val="clear" w:color="auto" w:fill="auto"/>
            <w:noWrap/>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提供企业近3年承担的装配式建筑项目的施工总承包合同或中标通知书</w:t>
            </w:r>
            <w:r>
              <w:rPr>
                <w:rFonts w:hint="eastAsia" w:ascii="Times New Roman" w:hAnsi="Times New Roman" w:eastAsia="仿宋_GB2312" w:cs="Times New Roman"/>
              </w:rPr>
              <w:t>；</w:t>
            </w:r>
          </w:p>
        </w:tc>
        <w:tc>
          <w:tcPr>
            <w:tcW w:w="1883" w:type="dxa"/>
            <w:shd w:val="clear" w:color="auto" w:fill="auto"/>
            <w:noWrap/>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4507" w:type="dxa"/>
            <w:gridSpan w:val="7"/>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基础分项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724"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序号</w:t>
            </w:r>
          </w:p>
        </w:tc>
        <w:tc>
          <w:tcPr>
            <w:tcW w:w="2151" w:type="dxa"/>
            <w:gridSpan w:val="2"/>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评分要点</w:t>
            </w:r>
          </w:p>
        </w:tc>
        <w:tc>
          <w:tcPr>
            <w:tcW w:w="3891"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评分标准</w:t>
            </w:r>
          </w:p>
        </w:tc>
        <w:tc>
          <w:tcPr>
            <w:tcW w:w="5858" w:type="dxa"/>
            <w:gridSpan w:val="2"/>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883"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4" w:type="dxa"/>
            <w:vMerge w:val="restart"/>
            <w:shd w:val="clear" w:color="auto" w:fill="auto"/>
            <w:noWrap/>
            <w:vAlign w:val="center"/>
          </w:tcPr>
          <w:p>
            <w:pPr>
              <w:widowControl/>
              <w:jc w:val="center"/>
              <w:textAlignment w:val="center"/>
              <w:rPr>
                <w:rFonts w:ascii="Times New Roman" w:hAnsi="Times New Roman" w:eastAsia="仿宋_GB2312" w:cs="Times New Roman"/>
                <w:color w:val="000000"/>
                <w:szCs w:val="21"/>
              </w:rPr>
            </w:pPr>
            <w:r>
              <w:rPr>
                <w:rFonts w:ascii="Times New Roman" w:hAnsi="Times New Roman" w:eastAsia="仿宋_GB2312" w:cs="Times New Roman"/>
                <w:color w:val="000000"/>
                <w:kern w:val="0"/>
                <w:szCs w:val="21"/>
              </w:rPr>
              <w:t>1</w:t>
            </w:r>
          </w:p>
        </w:tc>
        <w:tc>
          <w:tcPr>
            <w:tcW w:w="1076"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技术水平（40分）</w:t>
            </w:r>
          </w:p>
        </w:tc>
        <w:tc>
          <w:tcPr>
            <w:tcW w:w="1075" w:type="dxa"/>
            <w:shd w:val="clear" w:color="auto" w:fill="auto"/>
            <w:vAlign w:val="center"/>
          </w:tcPr>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信息化</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应用</w:t>
            </w:r>
          </w:p>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（10分）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采用BIM正向设计的3个竣工项目并提供佐证资料，得6分，每超出1个项目，加2分，总得分不大于10分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方案、初步设计（如有）、施工图设计阶段应用BIM技术的策划、实施、总结文件以及相关阶段BIM模型；</w:t>
            </w:r>
          </w:p>
          <w:p>
            <w:pPr>
              <w:widowControl/>
              <w:jc w:val="left"/>
              <w:textAlignment w:val="center"/>
              <w:rPr>
                <w:rFonts w:eastAsia="仿宋_GB2312"/>
              </w:rPr>
            </w:pPr>
            <w:r>
              <w:rPr>
                <w:rFonts w:ascii="Times New Roman" w:hAnsi="Times New Roman" w:eastAsia="仿宋_GB2312" w:cs="Times New Roman"/>
              </w:rPr>
              <w:t>2 设计通过BIM施工图审查的证明材料</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724" w:type="dxa"/>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1076"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1075" w:type="dxa"/>
            <w:shd w:val="clear" w:color="auto" w:fill="auto"/>
            <w:vAlign w:val="center"/>
          </w:tcPr>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标准化</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设计</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（10分）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采用模数化、通用化设计，构件标准化率达到30%以上竣工项目3项并提供佐证资料，得5分，每增加1个项目，加1分，总得分不大于10分</w:t>
            </w:r>
            <w:r>
              <w:rPr>
                <w:rFonts w:hint="eastAsia" w:ascii="Times New Roman" w:hAnsi="Times New Roman" w:eastAsia="仿宋_GB2312" w:cs="Times New Roman"/>
              </w:rPr>
              <w:t>；</w:t>
            </w:r>
          </w:p>
        </w:tc>
        <w:tc>
          <w:tcPr>
            <w:tcW w:w="5858" w:type="dxa"/>
            <w:gridSpan w:val="2"/>
            <w:shd w:val="clear" w:color="auto" w:fill="auto"/>
            <w:vAlign w:val="center"/>
          </w:tcPr>
          <w:p>
            <w:pPr>
              <w:widowControl/>
              <w:textAlignment w:val="center"/>
              <w:rPr>
                <w:rFonts w:ascii="Times New Roman" w:hAnsi="Times New Roman" w:eastAsia="仿宋_GB2312" w:cs="Times New Roman"/>
              </w:rPr>
            </w:pPr>
            <w:r>
              <w:rPr>
                <w:rFonts w:hint="eastAsia" w:ascii="Times New Roman" w:hAnsi="Times New Roman" w:eastAsia="仿宋_GB2312" w:cs="Times New Roman"/>
              </w:rPr>
              <w:t>1 提供标准化构件证明文件，</w:t>
            </w:r>
            <w:r>
              <w:rPr>
                <w:rFonts w:ascii="Times New Roman" w:hAnsi="Times New Roman" w:eastAsia="仿宋_GB2312" w:cs="Times New Roman"/>
              </w:rPr>
              <w:t>包括但不限于项目使用</w:t>
            </w:r>
            <w:r>
              <w:rPr>
                <w:rFonts w:hint="eastAsia" w:ascii="Times New Roman" w:hAnsi="Times New Roman" w:eastAsia="仿宋_GB2312" w:cs="Times New Roman"/>
              </w:rPr>
              <w:t>《湖南省装配式建筑全产业链BIM智能建造平台配套标准图库》（湘2021G106）</w:t>
            </w:r>
            <w:r>
              <w:rPr>
                <w:rFonts w:ascii="Times New Roman" w:hAnsi="Times New Roman" w:eastAsia="仿宋_GB2312" w:cs="Times New Roman"/>
              </w:rPr>
              <w:t>构件</w:t>
            </w:r>
            <w:r>
              <w:rPr>
                <w:rFonts w:hint="eastAsia" w:ascii="Times New Roman" w:hAnsi="Times New Roman" w:eastAsia="仿宋_GB2312" w:cs="Times New Roman"/>
              </w:rPr>
              <w:t>、湖南标准部品部件库核心库构件、</w:t>
            </w:r>
            <w:r>
              <w:rPr>
                <w:rFonts w:ascii="Times New Roman" w:hAnsi="Times New Roman" w:eastAsia="仿宋_GB2312" w:cs="Times New Roman"/>
              </w:rPr>
              <w:t>项目全过程采用标准化</w:t>
            </w:r>
            <w:r>
              <w:rPr>
                <w:rFonts w:hint="eastAsia" w:ascii="Times New Roman" w:hAnsi="Times New Roman" w:eastAsia="仿宋_GB2312" w:cs="Times New Roman"/>
              </w:rPr>
              <w:t>、模数化、通用化</w:t>
            </w:r>
            <w:r>
              <w:rPr>
                <w:rFonts w:ascii="Times New Roman" w:hAnsi="Times New Roman" w:eastAsia="仿宋_GB2312" w:cs="Times New Roman"/>
              </w:rPr>
              <w:t>做法的实施说明、申报</w:t>
            </w:r>
            <w:r>
              <w:rPr>
                <w:rFonts w:hint="eastAsia" w:ascii="Times New Roman" w:hAnsi="Times New Roman" w:eastAsia="仿宋_GB2312" w:cs="Times New Roman"/>
              </w:rPr>
              <w:t>项目</w:t>
            </w:r>
            <w:r>
              <w:rPr>
                <w:rFonts w:ascii="Times New Roman" w:hAnsi="Times New Roman" w:eastAsia="仿宋_GB2312" w:cs="Times New Roman"/>
              </w:rPr>
              <w:t>的</w:t>
            </w:r>
            <w:r>
              <w:rPr>
                <w:rFonts w:hint="eastAsia" w:ascii="Times New Roman" w:hAnsi="Times New Roman" w:eastAsia="仿宋_GB2312" w:cs="Times New Roman"/>
              </w:rPr>
              <w:t>实际生产</w:t>
            </w:r>
            <w:r>
              <w:rPr>
                <w:rFonts w:ascii="Times New Roman" w:hAnsi="Times New Roman" w:eastAsia="仿宋_GB2312" w:cs="Times New Roman"/>
              </w:rPr>
              <w:t>预制部品部件产品尺寸清单等</w:t>
            </w:r>
            <w:r>
              <w:rPr>
                <w:rFonts w:hint="eastAsia" w:ascii="Times New Roman" w:hAnsi="Times New Roman" w:eastAsia="仿宋_GB2312" w:cs="Times New Roman"/>
              </w:rPr>
              <w:t>；</w:t>
            </w:r>
          </w:p>
          <w:p>
            <w:pPr>
              <w:widowControl/>
              <w:textAlignment w:val="center"/>
              <w:rPr>
                <w:rFonts w:ascii="Times New Roman" w:hAnsi="Times New Roman" w:eastAsia="仿宋_GB2312" w:cs="Times New Roman"/>
              </w:rPr>
            </w:pPr>
            <w:r>
              <w:rPr>
                <w:rFonts w:hint="eastAsia" w:ascii="Times New Roman" w:hAnsi="Times New Roman" w:eastAsia="仿宋_GB2312" w:cs="Times New Roman"/>
              </w:rPr>
              <w:t xml:space="preserve">2 </w:t>
            </w:r>
            <w:r>
              <w:rPr>
                <w:rFonts w:ascii="Times New Roman" w:hAnsi="Times New Roman" w:eastAsia="仿宋_GB2312" w:cs="Times New Roman"/>
              </w:rPr>
              <w:t>提供相关项目</w:t>
            </w:r>
            <w:r>
              <w:rPr>
                <w:rFonts w:hint="eastAsia" w:ascii="Times New Roman" w:hAnsi="Times New Roman" w:eastAsia="仿宋_GB2312" w:cs="Times New Roman"/>
              </w:rPr>
              <w:t>标准化构件应用比例的计算文件；</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724" w:type="dxa"/>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1076"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1075" w:type="dxa"/>
            <w:vMerge w:val="restart"/>
            <w:shd w:val="clear" w:color="auto" w:fill="auto"/>
            <w:vAlign w:val="center"/>
          </w:tcPr>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一体化</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设计</w:t>
            </w:r>
          </w:p>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（10分）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同时具有绿色建筑设计、装配式建筑工艺设计以及装饰装修设计的技术能力，得5分；</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提供企业承担绿色建筑设计、装配式建筑工艺设计以及装饰装修设计的项目案例；</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2 提供企业从事绿色建筑设计、装配式建筑工艺设计以及装饰装修设计的人员及业绩证明</w:t>
            </w:r>
            <w:r>
              <w:rPr>
                <w:rFonts w:hint="eastAsia" w:ascii="Times New Roman" w:hAnsi="Times New Roman" w:eastAsia="仿宋_GB2312" w:cs="Times New Roman"/>
              </w:rPr>
              <w:t>；</w:t>
            </w:r>
          </w:p>
          <w:p>
            <w:pPr>
              <w:pStyle w:val="2"/>
              <w:rPr>
                <w:rFonts w:eastAsia="仿宋_GB2312"/>
              </w:rPr>
            </w:pPr>
            <w:r>
              <w:rPr>
                <w:rFonts w:hint="eastAsia" w:ascii="Times New Roman" w:hAnsi="Times New Roman" w:eastAsia="仿宋_GB2312" w:cs="Times New Roman"/>
              </w:rPr>
              <w:t>（</w:t>
            </w:r>
            <w:r>
              <w:rPr>
                <w:rFonts w:ascii="Times New Roman" w:hAnsi="Times New Roman" w:eastAsia="仿宋_GB2312" w:cs="Times New Roman"/>
              </w:rPr>
              <w:t>当没有1时提供2</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24" w:type="dxa"/>
            <w:vMerge w:val="continue"/>
            <w:shd w:val="clear" w:color="auto" w:fill="auto"/>
            <w:noWrap/>
            <w:vAlign w:val="center"/>
          </w:tcPr>
          <w:p>
            <w:pPr>
              <w:jc w:val="center"/>
              <w:rPr>
                <w:rFonts w:ascii="Times New Roman" w:hAnsi="Times New Roman" w:eastAsia="仿宋_GB2312" w:cs="Times New Roman"/>
                <w:color w:val="000000"/>
                <w:szCs w:val="21"/>
              </w:rPr>
            </w:pPr>
          </w:p>
        </w:tc>
        <w:tc>
          <w:tcPr>
            <w:tcW w:w="1076" w:type="dxa"/>
            <w:vMerge w:val="continue"/>
            <w:shd w:val="clear" w:color="auto" w:fill="auto"/>
            <w:vAlign w:val="center"/>
          </w:tcPr>
          <w:p>
            <w:pPr>
              <w:jc w:val="center"/>
              <w:rPr>
                <w:rFonts w:ascii="Times New Roman" w:hAnsi="Times New Roman" w:eastAsia="仿宋_GB2312" w:cs="Times New Roman"/>
                <w:b/>
                <w:bCs/>
                <w:color w:val="000000"/>
                <w:szCs w:val="21"/>
              </w:rPr>
            </w:pPr>
          </w:p>
        </w:tc>
        <w:tc>
          <w:tcPr>
            <w:tcW w:w="1075"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szCs w:val="21"/>
              </w:rPr>
            </w:pP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提供绿色建筑设计、装配式建筑工艺设计以及装饰装修设计在设计阶段同时报审，并通过施工图审查的项目案例不少于1项，得2分，每增加1项，加1分，总得分不大于5分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 xml:space="preserve"> </w:t>
            </w:r>
            <w:r>
              <w:rPr>
                <w:rFonts w:ascii="Times New Roman" w:hAnsi="Times New Roman" w:eastAsia="仿宋_GB2312" w:cs="Times New Roman"/>
              </w:rPr>
              <w:t>提供绿色建筑、装配式建筑、装修设计相关设计文件及通过审查记录；</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2 就相关设计时间、协同设计措施及通过审查时间等简要说明一体化设计的内容</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724" w:type="dxa"/>
            <w:vMerge w:val="continue"/>
            <w:shd w:val="clear" w:color="auto" w:fill="auto"/>
            <w:noWrap/>
            <w:vAlign w:val="center"/>
          </w:tcPr>
          <w:p>
            <w:pPr>
              <w:jc w:val="center"/>
              <w:rPr>
                <w:rFonts w:ascii="Times New Roman" w:hAnsi="Times New Roman" w:eastAsia="仿宋_GB2312" w:cs="Times New Roman"/>
                <w:color w:val="000000"/>
                <w:szCs w:val="21"/>
              </w:rPr>
            </w:pPr>
          </w:p>
        </w:tc>
        <w:tc>
          <w:tcPr>
            <w:tcW w:w="1076" w:type="dxa"/>
            <w:vMerge w:val="continue"/>
            <w:shd w:val="clear" w:color="auto" w:fill="auto"/>
            <w:vAlign w:val="center"/>
          </w:tcPr>
          <w:p>
            <w:pPr>
              <w:jc w:val="center"/>
              <w:rPr>
                <w:rFonts w:ascii="Times New Roman" w:hAnsi="Times New Roman" w:eastAsia="仿宋_GB2312" w:cs="Times New Roman"/>
                <w:b/>
                <w:bCs/>
                <w:color w:val="000000"/>
                <w:szCs w:val="21"/>
              </w:rPr>
            </w:pPr>
          </w:p>
        </w:tc>
        <w:tc>
          <w:tcPr>
            <w:tcW w:w="1075"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建造流程配合</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（5分）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提供设计师参与相关工厂化首批构件、施工现场首层构件安装质量验收记录，不少于5次得3分，不少于10次得5分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提供企业承担项目的工厂首批构件、施工现场首层构件安装质量验收记录；</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2 提供可体现设计师到场参与验收的签到表或验收签字表</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1" w:hRule="atLeast"/>
          <w:jc w:val="center"/>
        </w:trPr>
        <w:tc>
          <w:tcPr>
            <w:tcW w:w="724" w:type="dxa"/>
            <w:vMerge w:val="continue"/>
            <w:shd w:val="clear" w:color="auto" w:fill="auto"/>
            <w:noWrap/>
            <w:vAlign w:val="center"/>
          </w:tcPr>
          <w:p>
            <w:pPr>
              <w:jc w:val="center"/>
              <w:rPr>
                <w:rFonts w:ascii="Times New Roman" w:hAnsi="Times New Roman" w:eastAsia="仿宋_GB2312" w:cs="Times New Roman"/>
                <w:color w:val="000000"/>
                <w:szCs w:val="21"/>
              </w:rPr>
            </w:pPr>
          </w:p>
        </w:tc>
        <w:tc>
          <w:tcPr>
            <w:tcW w:w="1076" w:type="dxa"/>
            <w:vMerge w:val="continue"/>
            <w:shd w:val="clear" w:color="auto" w:fill="auto"/>
            <w:vAlign w:val="center"/>
          </w:tcPr>
          <w:p>
            <w:pPr>
              <w:jc w:val="center"/>
              <w:rPr>
                <w:rFonts w:ascii="Times New Roman" w:hAnsi="Times New Roman" w:eastAsia="仿宋_GB2312" w:cs="Times New Roman"/>
                <w:b/>
                <w:bCs/>
                <w:color w:val="000000"/>
                <w:szCs w:val="21"/>
              </w:rPr>
            </w:pPr>
          </w:p>
        </w:tc>
        <w:tc>
          <w:tcPr>
            <w:tcW w:w="1075" w:type="dxa"/>
            <w:shd w:val="clear" w:color="auto" w:fill="auto"/>
            <w:vAlign w:val="center"/>
          </w:tcPr>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体系化</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建设</w:t>
            </w:r>
          </w:p>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（5分）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主编或参编过2本装配式建筑国家、省级或团体技术标准、规范及标准图集，得3分，每多出1本，加1分，总得分不大于5分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提供主参编单位中体现企业名称的已发布装配式建筑省级或团体技术标准、规范及标准图集，提交标准、规范、图集的封面及扉页证明</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4" w:type="dxa"/>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2</w:t>
            </w:r>
          </w:p>
        </w:tc>
        <w:tc>
          <w:tcPr>
            <w:tcW w:w="1076"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管理能力</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（1</w:t>
            </w:r>
            <w:r>
              <w:rPr>
                <w:rFonts w:hint="eastAsia" w:ascii="Times New Roman" w:hAnsi="Times New Roman" w:eastAsia="仿宋_GB2312" w:cs="Times New Roman"/>
                <w:b/>
                <w:bCs/>
                <w:color w:val="000000"/>
                <w:kern w:val="0"/>
                <w:szCs w:val="21"/>
              </w:rPr>
              <w:t>5</w:t>
            </w:r>
            <w:r>
              <w:rPr>
                <w:rFonts w:ascii="Times New Roman" w:hAnsi="Times New Roman" w:eastAsia="仿宋_GB2312" w:cs="Times New Roman"/>
                <w:b/>
                <w:bCs/>
                <w:color w:val="000000"/>
                <w:kern w:val="0"/>
                <w:szCs w:val="21"/>
              </w:rPr>
              <w:t>分）</w:t>
            </w:r>
          </w:p>
        </w:tc>
        <w:tc>
          <w:tcPr>
            <w:tcW w:w="1075"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人员配置（10分）</w:t>
            </w:r>
          </w:p>
        </w:tc>
        <w:tc>
          <w:tcPr>
            <w:tcW w:w="3891" w:type="dxa"/>
            <w:shd w:val="clear" w:color="auto" w:fill="auto"/>
            <w:vAlign w:val="center"/>
          </w:tcPr>
          <w:p>
            <w:pPr>
              <w:pStyle w:val="2"/>
              <w:rPr>
                <w:rFonts w:ascii="Times New Roman" w:hAnsi="Times New Roman" w:eastAsia="仿宋_GB2312" w:cs="Times New Roman"/>
              </w:rPr>
            </w:pPr>
            <w:r>
              <w:rPr>
                <w:rFonts w:hint="eastAsia" w:ascii="Times New Roman" w:hAnsi="Times New Roman" w:eastAsia="仿宋_GB2312" w:cs="Times New Roman"/>
              </w:rPr>
              <w:t>企业总工程师或装配式技术负责人具有高级工程师职称或一级结构工程师执业资格，得3分，两项资格均符合，得5分；</w:t>
            </w:r>
          </w:p>
        </w:tc>
        <w:tc>
          <w:tcPr>
            <w:tcW w:w="5858" w:type="dxa"/>
            <w:gridSpan w:val="2"/>
            <w:shd w:val="clear" w:color="auto" w:fill="auto"/>
            <w:vAlign w:val="center"/>
          </w:tcPr>
          <w:p>
            <w:pPr>
              <w:pStyle w:val="2"/>
              <w:rPr>
                <w:rFonts w:ascii="Times New Roman" w:hAnsi="Times New Roman" w:eastAsia="仿宋_GB2312" w:cs="Times New Roman"/>
              </w:rPr>
            </w:pPr>
            <w:r>
              <w:rPr>
                <w:rFonts w:ascii="Times New Roman" w:hAnsi="Times New Roman" w:eastAsia="仿宋_GB2312" w:cs="Times New Roman"/>
              </w:rPr>
              <w:t>1 提供企业总技术负责人的劳动合同、3年的社保证明或工作证明等资料</w:t>
            </w:r>
            <w:r>
              <w:rPr>
                <w:rFonts w:hint="eastAsia" w:ascii="Times New Roman" w:hAnsi="Times New Roman" w:eastAsia="仿宋_GB2312" w:cs="Times New Roman"/>
              </w:rPr>
              <w:t>；</w:t>
            </w:r>
          </w:p>
          <w:p>
            <w:pPr>
              <w:pStyle w:val="2"/>
              <w:rPr>
                <w:rFonts w:ascii="Times New Roman" w:hAnsi="Times New Roman" w:eastAsia="仿宋_GB2312" w:cs="Times New Roman"/>
              </w:rPr>
            </w:pPr>
            <w:r>
              <w:rPr>
                <w:rFonts w:ascii="Times New Roman" w:hAnsi="Times New Roman" w:eastAsia="仿宋_GB2312" w:cs="Times New Roman"/>
              </w:rPr>
              <w:t>2 提供企业总技术负责人的高级工程师职称或</w:t>
            </w:r>
            <w:r>
              <w:rPr>
                <w:rFonts w:hint="eastAsia" w:ascii="Times New Roman" w:hAnsi="Times New Roman" w:eastAsia="仿宋_GB2312" w:cs="Times New Roman"/>
              </w:rPr>
              <w:t>一级结构工程师</w:t>
            </w:r>
            <w:r>
              <w:rPr>
                <w:rFonts w:ascii="Times New Roman" w:hAnsi="Times New Roman" w:eastAsia="仿宋_GB2312" w:cs="Times New Roman"/>
              </w:rPr>
              <w:t>执业资格证书</w:t>
            </w:r>
            <w:r>
              <w:rPr>
                <w:rFonts w:hint="eastAsia" w:ascii="Times New Roman" w:hAnsi="Times New Roman" w:eastAsia="仿宋_GB2312" w:cs="Times New Roman"/>
              </w:rPr>
              <w:t>；</w:t>
            </w:r>
          </w:p>
        </w:tc>
        <w:tc>
          <w:tcPr>
            <w:tcW w:w="1883" w:type="dxa"/>
            <w:shd w:val="clear" w:color="auto" w:fill="auto"/>
            <w:vAlign w:val="center"/>
          </w:tcPr>
          <w:p>
            <w:pPr>
              <w:pStyle w:val="2"/>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1076" w:type="dxa"/>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1075"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具有专门从事装配式建筑的研发、设计团队，建筑、结构、水电、暖通、设备、装修等专业工种配套（各专业研究、设计至少配备1人），得5分，缺一个专业扣1分；</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提供企业</w:t>
            </w:r>
            <w:r>
              <w:rPr>
                <w:rFonts w:hint="eastAsia" w:ascii="Times New Roman" w:hAnsi="Times New Roman" w:eastAsia="仿宋_GB2312" w:cs="Times New Roman"/>
              </w:rPr>
              <w:t>从事装配式建筑的研发、设计团队的建筑、结构、水电、暖通、设备、装修等专业工种配套（各专业研究、设计至少配备1人）</w:t>
            </w:r>
            <w:r>
              <w:rPr>
                <w:rFonts w:ascii="Times New Roman" w:hAnsi="Times New Roman" w:eastAsia="仿宋_GB2312" w:cs="Times New Roman"/>
              </w:rPr>
              <w:t>人员的社保证明或劳动合同证明；</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1076" w:type="dxa"/>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1075"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履职情况（5分）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项目设计质量均达到合格以上，得5分，有不合格记录，此项不能得分；</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提供施工图审查合格证明文件；</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724" w:type="dxa"/>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3</w:t>
            </w:r>
          </w:p>
        </w:tc>
        <w:tc>
          <w:tcPr>
            <w:tcW w:w="1076"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工程业绩</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（25分）</w:t>
            </w:r>
          </w:p>
        </w:tc>
        <w:tc>
          <w:tcPr>
            <w:tcW w:w="1075" w:type="dxa"/>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实施面积（15分）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近3年，独立承担装配式建筑设计项目施工图实施面积10万</w:t>
            </w:r>
            <w:r>
              <w:rPr>
                <w:rFonts w:hint="eastAsia" w:ascii="Times New Roman" w:hAnsi="Times New Roman" w:eastAsia="仿宋_GB2312" w:cs="Times New Roman"/>
              </w:rPr>
              <w:t>m</w:t>
            </w:r>
            <w:r>
              <w:rPr>
                <w:rFonts w:hint="eastAsia" w:ascii="Times New Roman" w:hAnsi="Times New Roman" w:eastAsia="仿宋_GB2312" w:cs="Times New Roman"/>
                <w:vertAlign w:val="superscript"/>
              </w:rPr>
              <w:t>2</w:t>
            </w:r>
            <w:r>
              <w:rPr>
                <w:rFonts w:ascii="Times New Roman" w:hAnsi="Times New Roman" w:eastAsia="仿宋_GB2312" w:cs="Times New Roman"/>
              </w:rPr>
              <w:t>，得5分，每多出2万</w:t>
            </w:r>
            <w:r>
              <w:rPr>
                <w:rFonts w:hint="eastAsia" w:ascii="Times New Roman" w:hAnsi="Times New Roman" w:eastAsia="仿宋_GB2312" w:cs="Times New Roman"/>
              </w:rPr>
              <w:t>m</w:t>
            </w:r>
            <w:r>
              <w:rPr>
                <w:rFonts w:hint="eastAsia" w:ascii="Times New Roman" w:hAnsi="Times New Roman" w:eastAsia="仿宋_GB2312" w:cs="Times New Roman"/>
                <w:vertAlign w:val="superscript"/>
              </w:rPr>
              <w:t>2</w:t>
            </w:r>
            <w:r>
              <w:rPr>
                <w:rFonts w:ascii="Times New Roman" w:hAnsi="Times New Roman" w:eastAsia="仿宋_GB2312" w:cs="Times New Roman"/>
              </w:rPr>
              <w:t>，加1分，总得分不大于15分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提供近3年承担的装配式建筑设计施工图合同证明及图审合格证明；</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2 提供体现项目日期、装配式部分面积以及装配率等相关信息的汇总清单</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24" w:type="dxa"/>
            <w:vMerge w:val="continue"/>
            <w:shd w:val="clear" w:color="auto" w:fill="auto"/>
            <w:noWrap/>
            <w:vAlign w:val="center"/>
          </w:tcPr>
          <w:p>
            <w:pPr>
              <w:jc w:val="center"/>
              <w:rPr>
                <w:rFonts w:ascii="Times New Roman" w:hAnsi="Times New Roman" w:eastAsia="仿宋_GB2312" w:cs="Times New Roman"/>
                <w:szCs w:val="21"/>
              </w:rPr>
            </w:pPr>
          </w:p>
        </w:tc>
        <w:tc>
          <w:tcPr>
            <w:tcW w:w="1076" w:type="dxa"/>
            <w:vMerge w:val="continue"/>
            <w:shd w:val="clear" w:color="auto" w:fill="auto"/>
            <w:vAlign w:val="center"/>
          </w:tcPr>
          <w:p>
            <w:pPr>
              <w:jc w:val="center"/>
              <w:rPr>
                <w:rFonts w:ascii="Times New Roman" w:hAnsi="Times New Roman" w:eastAsia="仿宋_GB2312" w:cs="Times New Roman"/>
                <w:b/>
                <w:bCs/>
                <w:szCs w:val="21"/>
              </w:rPr>
            </w:pPr>
          </w:p>
        </w:tc>
        <w:tc>
          <w:tcPr>
            <w:tcW w:w="1075"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总承包</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（5分）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承担设计牵头的装配式工程总承包项目1项，得3分，每增加1个，加1分，总得分不大于5分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提供设计企业牵头的EPC委托合同、运行机构及记录、相关管理制度、会议纪要等</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24" w:type="dxa"/>
            <w:vMerge w:val="continue"/>
            <w:shd w:val="clear" w:color="auto" w:fill="auto"/>
            <w:noWrap/>
            <w:vAlign w:val="center"/>
          </w:tcPr>
          <w:p>
            <w:pPr>
              <w:jc w:val="center"/>
              <w:rPr>
                <w:rFonts w:ascii="Times New Roman" w:hAnsi="Times New Roman" w:eastAsia="仿宋_GB2312" w:cs="Times New Roman"/>
                <w:szCs w:val="21"/>
              </w:rPr>
            </w:pPr>
          </w:p>
        </w:tc>
        <w:tc>
          <w:tcPr>
            <w:tcW w:w="1076" w:type="dxa"/>
            <w:vMerge w:val="continue"/>
            <w:shd w:val="clear" w:color="auto" w:fill="auto"/>
            <w:vAlign w:val="center"/>
          </w:tcPr>
          <w:p>
            <w:pPr>
              <w:jc w:val="center"/>
              <w:rPr>
                <w:rFonts w:ascii="Times New Roman" w:hAnsi="Times New Roman" w:eastAsia="仿宋_GB2312" w:cs="Times New Roman"/>
                <w:b/>
                <w:bCs/>
                <w:szCs w:val="21"/>
              </w:rPr>
            </w:pPr>
          </w:p>
        </w:tc>
        <w:tc>
          <w:tcPr>
            <w:tcW w:w="1075"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获奖情况</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（5分）</w:t>
            </w:r>
          </w:p>
        </w:tc>
        <w:tc>
          <w:tcPr>
            <w:tcW w:w="3891"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近5年来获得1项以上国家部级优秀设计相关奖项或省级优秀工程勘察设计一等奖，得3分，每增加1项，加1分，总得分不大于5分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提供近5年企业的相关获奖证明</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07" w:type="dxa"/>
            <w:gridSpan w:val="7"/>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可选分项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24" w:type="dxa"/>
            <w:tcBorders>
              <w:righ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序号</w:t>
            </w:r>
          </w:p>
        </w:tc>
        <w:tc>
          <w:tcPr>
            <w:tcW w:w="1076" w:type="dxa"/>
            <w:tcBorders>
              <w:lef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评分要点</w:t>
            </w:r>
          </w:p>
        </w:tc>
        <w:tc>
          <w:tcPr>
            <w:tcW w:w="4966" w:type="dxa"/>
            <w:gridSpan w:val="2"/>
            <w:tcBorders>
              <w:lef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评分标准</w:t>
            </w:r>
          </w:p>
        </w:tc>
        <w:tc>
          <w:tcPr>
            <w:tcW w:w="5858" w:type="dxa"/>
            <w:gridSpan w:val="2"/>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883"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724" w:type="dxa"/>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4</w:t>
            </w:r>
          </w:p>
        </w:tc>
        <w:tc>
          <w:tcPr>
            <w:tcW w:w="1076" w:type="dxa"/>
            <w:vMerge w:val="restart"/>
            <w:shd w:val="clear" w:color="auto" w:fill="auto"/>
            <w:vAlign w:val="center"/>
          </w:tcPr>
          <w:p>
            <w:pPr>
              <w:widowControl/>
              <w:jc w:val="center"/>
              <w:textAlignment w:val="center"/>
              <w:rPr>
                <w:rFonts w:ascii="Times New Roman" w:hAnsi="Times New Roman" w:eastAsia="仿宋_GB2312" w:cs="Times New Roman"/>
                <w:b/>
                <w:bCs/>
              </w:rPr>
            </w:pPr>
            <w:r>
              <w:rPr>
                <w:rFonts w:ascii="Times New Roman" w:hAnsi="Times New Roman" w:eastAsia="仿宋_GB2312" w:cs="Times New Roman"/>
                <w:b/>
                <w:bCs/>
              </w:rPr>
              <w:t>可选分项</w:t>
            </w:r>
          </w:p>
          <w:p>
            <w:pPr>
              <w:widowControl/>
              <w:jc w:val="center"/>
              <w:textAlignment w:val="center"/>
              <w:rPr>
                <w:rFonts w:ascii="Times New Roman" w:hAnsi="Times New Roman" w:eastAsia="仿宋_GB2312" w:cs="Times New Roman"/>
                <w:b/>
                <w:bCs/>
              </w:rPr>
            </w:pPr>
            <w:r>
              <w:rPr>
                <w:rFonts w:ascii="Times New Roman" w:hAnsi="Times New Roman" w:eastAsia="仿宋_GB2312" w:cs="Times New Roman"/>
                <w:b/>
                <w:bCs/>
              </w:rPr>
              <w:t>（每项5分，最多不超过20分）</w:t>
            </w:r>
          </w:p>
        </w:tc>
        <w:tc>
          <w:tcPr>
            <w:tcW w:w="4966" w:type="dxa"/>
            <w:gridSpan w:val="2"/>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1 </w:t>
            </w:r>
            <w:r>
              <w:rPr>
                <w:rFonts w:ascii="Times New Roman" w:hAnsi="Times New Roman" w:eastAsia="仿宋_GB2312" w:cs="Times New Roman"/>
              </w:rPr>
              <w:t>提供3个采用模数化、通用化设计，构件标准化率达到50%以上竣工项目的佐证资料，得5分</w:t>
            </w:r>
            <w:r>
              <w:rPr>
                <w:rFonts w:hint="eastAsia" w:ascii="Times New Roman" w:hAnsi="Times New Roman" w:eastAsia="仿宋_GB2312" w:cs="Times New Roman"/>
              </w:rPr>
              <w:t>；</w:t>
            </w:r>
          </w:p>
        </w:tc>
        <w:tc>
          <w:tcPr>
            <w:tcW w:w="5858" w:type="dxa"/>
            <w:gridSpan w:val="2"/>
            <w:shd w:val="clear" w:color="auto" w:fill="auto"/>
            <w:vAlign w:val="center"/>
          </w:tcPr>
          <w:p>
            <w:pPr>
              <w:pStyle w:val="2"/>
              <w:rPr>
                <w:rFonts w:ascii="Times New Roman" w:hAnsi="Times New Roman" w:eastAsia="仿宋_GB2312" w:cs="Times New Roman"/>
              </w:rPr>
            </w:pPr>
            <w:r>
              <w:rPr>
                <w:rFonts w:hint="eastAsia" w:ascii="Times New Roman" w:hAnsi="Times New Roman" w:eastAsia="仿宋_GB2312" w:cs="Times New Roman"/>
              </w:rPr>
              <w:t>1 提供标准化构件证明文件，</w:t>
            </w:r>
            <w:r>
              <w:rPr>
                <w:rFonts w:ascii="Times New Roman" w:hAnsi="Times New Roman" w:eastAsia="仿宋_GB2312" w:cs="Times New Roman"/>
              </w:rPr>
              <w:t>包括但不限于项目使用</w:t>
            </w:r>
            <w:r>
              <w:rPr>
                <w:rFonts w:hint="eastAsia" w:ascii="Times New Roman" w:hAnsi="Times New Roman" w:eastAsia="仿宋_GB2312" w:cs="Times New Roman"/>
              </w:rPr>
              <w:t>《湖南省装配式建筑全产业链BIM智能建造平台配套标准图库》（湘2021G106）</w:t>
            </w:r>
            <w:r>
              <w:rPr>
                <w:rFonts w:ascii="Times New Roman" w:hAnsi="Times New Roman" w:eastAsia="仿宋_GB2312" w:cs="Times New Roman"/>
              </w:rPr>
              <w:t>构件</w:t>
            </w:r>
            <w:r>
              <w:rPr>
                <w:rFonts w:hint="eastAsia" w:ascii="Times New Roman" w:hAnsi="Times New Roman" w:eastAsia="仿宋_GB2312" w:cs="Times New Roman"/>
              </w:rPr>
              <w:t>、湖南标准部品部件库核心库构件、</w:t>
            </w:r>
            <w:r>
              <w:rPr>
                <w:rFonts w:ascii="Times New Roman" w:hAnsi="Times New Roman" w:eastAsia="仿宋_GB2312" w:cs="Times New Roman"/>
              </w:rPr>
              <w:t>项目全过程采用标准化</w:t>
            </w:r>
            <w:r>
              <w:rPr>
                <w:rFonts w:hint="eastAsia" w:ascii="Times New Roman" w:hAnsi="Times New Roman" w:eastAsia="仿宋_GB2312" w:cs="Times New Roman"/>
              </w:rPr>
              <w:t>、模数化、通用化</w:t>
            </w:r>
            <w:r>
              <w:rPr>
                <w:rFonts w:ascii="Times New Roman" w:hAnsi="Times New Roman" w:eastAsia="仿宋_GB2312" w:cs="Times New Roman"/>
              </w:rPr>
              <w:t>做法的实施说明、申报</w:t>
            </w:r>
            <w:r>
              <w:rPr>
                <w:rFonts w:hint="eastAsia" w:ascii="Times New Roman" w:hAnsi="Times New Roman" w:eastAsia="仿宋_GB2312" w:cs="Times New Roman"/>
              </w:rPr>
              <w:t>项目</w:t>
            </w:r>
            <w:r>
              <w:rPr>
                <w:rFonts w:ascii="Times New Roman" w:hAnsi="Times New Roman" w:eastAsia="仿宋_GB2312" w:cs="Times New Roman"/>
              </w:rPr>
              <w:t>的</w:t>
            </w:r>
            <w:r>
              <w:rPr>
                <w:rFonts w:hint="eastAsia" w:ascii="Times New Roman" w:hAnsi="Times New Roman" w:eastAsia="仿宋_GB2312" w:cs="Times New Roman"/>
              </w:rPr>
              <w:t>实际生产</w:t>
            </w:r>
            <w:r>
              <w:rPr>
                <w:rFonts w:ascii="Times New Roman" w:hAnsi="Times New Roman" w:eastAsia="仿宋_GB2312" w:cs="Times New Roman"/>
              </w:rPr>
              <w:t>预制部品部件产品尺寸清单等</w:t>
            </w:r>
            <w:r>
              <w:rPr>
                <w:rFonts w:hint="eastAsia" w:ascii="Times New Roman" w:hAnsi="Times New Roman" w:eastAsia="仿宋_GB2312" w:cs="Times New Roman"/>
              </w:rPr>
              <w:t>；</w:t>
            </w:r>
          </w:p>
          <w:p>
            <w:pPr>
              <w:pStyle w:val="2"/>
              <w:rPr>
                <w:rFonts w:ascii="Times New Roman" w:hAnsi="Times New Roman" w:eastAsia="仿宋_GB2312" w:cs="Times New Roman"/>
              </w:rPr>
            </w:pPr>
            <w:r>
              <w:rPr>
                <w:rFonts w:hint="eastAsia" w:ascii="Times New Roman" w:hAnsi="Times New Roman" w:eastAsia="仿宋_GB2312" w:cs="Times New Roman"/>
              </w:rPr>
              <w:t xml:space="preserve">2 </w:t>
            </w:r>
            <w:r>
              <w:rPr>
                <w:rFonts w:ascii="Times New Roman" w:hAnsi="Times New Roman" w:eastAsia="仿宋_GB2312" w:cs="Times New Roman"/>
              </w:rPr>
              <w:t>提供相关项目</w:t>
            </w:r>
            <w:r>
              <w:rPr>
                <w:rFonts w:hint="eastAsia" w:ascii="Times New Roman" w:hAnsi="Times New Roman" w:eastAsia="仿宋_GB2312" w:cs="Times New Roman"/>
              </w:rPr>
              <w:t>标准化构件应用比例的计算文件；</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24" w:type="dxa"/>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1076" w:type="dxa"/>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4966" w:type="dxa"/>
            <w:gridSpan w:val="2"/>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2 </w:t>
            </w:r>
            <w:r>
              <w:rPr>
                <w:rFonts w:ascii="Times New Roman" w:hAnsi="Times New Roman" w:eastAsia="仿宋_GB2312" w:cs="Times New Roman"/>
              </w:rPr>
              <w:t>设计省标A级及以上的装配式建筑项目3项或AA级及以上的装配式混凝土建筑项目1项，加5分</w:t>
            </w:r>
            <w:r>
              <w:rPr>
                <w:rFonts w:hint="eastAsia" w:ascii="Times New Roman" w:hAnsi="Times New Roman" w:eastAsia="仿宋_GB2312" w:cs="Times New Roman"/>
              </w:rPr>
              <w:t>；</w:t>
            </w:r>
          </w:p>
        </w:tc>
        <w:tc>
          <w:tcPr>
            <w:tcW w:w="5858" w:type="dxa"/>
            <w:gridSpan w:val="2"/>
            <w:shd w:val="clear" w:color="auto" w:fill="auto"/>
            <w:vAlign w:val="center"/>
          </w:tcPr>
          <w:p>
            <w:pPr>
              <w:pStyle w:val="2"/>
            </w:pPr>
            <w:r>
              <w:rPr>
                <w:rFonts w:hint="eastAsia" w:ascii="Times New Roman" w:hAnsi="Times New Roman" w:eastAsia="仿宋_GB2312" w:cs="Times New Roman"/>
              </w:rPr>
              <w:t>提供相关项目按《湖南省绿色装配式建筑评价标准》出具的装配率计算书，并通过二维施工图审查或BIM施工图审查认可；</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724" w:type="dxa"/>
            <w:vMerge w:val="continue"/>
            <w:shd w:val="clear" w:color="auto" w:fill="auto"/>
            <w:noWrap/>
            <w:vAlign w:val="center"/>
          </w:tcPr>
          <w:p>
            <w:pPr>
              <w:jc w:val="center"/>
              <w:rPr>
                <w:rFonts w:ascii="Times New Roman" w:hAnsi="Times New Roman" w:eastAsia="仿宋_GB2312" w:cs="Times New Roman"/>
                <w:szCs w:val="21"/>
              </w:rPr>
            </w:pPr>
          </w:p>
        </w:tc>
        <w:tc>
          <w:tcPr>
            <w:tcW w:w="1076" w:type="dxa"/>
            <w:vMerge w:val="continue"/>
            <w:shd w:val="clear" w:color="auto" w:fill="auto"/>
            <w:vAlign w:val="center"/>
          </w:tcPr>
          <w:p>
            <w:pPr>
              <w:jc w:val="center"/>
              <w:rPr>
                <w:rFonts w:ascii="Times New Roman" w:hAnsi="Times New Roman" w:eastAsia="仿宋_GB2312" w:cs="Times New Roman"/>
                <w:szCs w:val="21"/>
              </w:rPr>
            </w:pPr>
          </w:p>
        </w:tc>
        <w:tc>
          <w:tcPr>
            <w:tcW w:w="4966" w:type="dxa"/>
            <w:gridSpan w:val="2"/>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3 </w:t>
            </w:r>
            <w:r>
              <w:rPr>
                <w:rFonts w:ascii="Times New Roman" w:hAnsi="Times New Roman" w:eastAsia="仿宋_GB2312" w:cs="Times New Roman"/>
              </w:rPr>
              <w:t>提供3个采用装配式装修设计的完成项目佐证材料，得5分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提供项目装修设计采用装配式装修技术的带图审合格章的设计文件</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724" w:type="dxa"/>
            <w:vMerge w:val="continue"/>
            <w:shd w:val="clear" w:color="auto" w:fill="auto"/>
            <w:noWrap/>
            <w:vAlign w:val="center"/>
          </w:tcPr>
          <w:p>
            <w:pPr>
              <w:jc w:val="center"/>
              <w:rPr>
                <w:rFonts w:ascii="Times New Roman" w:hAnsi="Times New Roman" w:eastAsia="仿宋_GB2312" w:cs="Times New Roman"/>
                <w:szCs w:val="21"/>
              </w:rPr>
            </w:pPr>
          </w:p>
        </w:tc>
        <w:tc>
          <w:tcPr>
            <w:tcW w:w="1076" w:type="dxa"/>
            <w:vMerge w:val="continue"/>
            <w:shd w:val="clear" w:color="auto" w:fill="auto"/>
            <w:vAlign w:val="center"/>
          </w:tcPr>
          <w:p>
            <w:pPr>
              <w:jc w:val="center"/>
              <w:rPr>
                <w:rFonts w:ascii="Times New Roman" w:hAnsi="Times New Roman" w:eastAsia="仿宋_GB2312" w:cs="Times New Roman"/>
                <w:szCs w:val="21"/>
              </w:rPr>
            </w:pPr>
          </w:p>
        </w:tc>
        <w:tc>
          <w:tcPr>
            <w:tcW w:w="4966" w:type="dxa"/>
            <w:gridSpan w:val="2"/>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4 </w:t>
            </w:r>
            <w:r>
              <w:rPr>
                <w:rFonts w:ascii="Times New Roman" w:hAnsi="Times New Roman" w:eastAsia="仿宋_GB2312" w:cs="Times New Roman"/>
              </w:rPr>
              <w:t>参与项目获得《绿色建筑评价标准》GB/T50378一星级项目1项以上，得5分</w:t>
            </w:r>
            <w:r>
              <w:rPr>
                <w:rFonts w:hint="eastAsia" w:ascii="Times New Roman" w:hAnsi="Times New Roman" w:eastAsia="仿宋_GB2312" w:cs="Times New Roman"/>
              </w:rPr>
              <w:t>；</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参与项目通过《绿色建筑评价标准》GB/T50378一星级预评价项目1项以上，得2分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 xml:space="preserve"> </w:t>
            </w:r>
            <w:r>
              <w:rPr>
                <w:rFonts w:ascii="Times New Roman" w:hAnsi="Times New Roman" w:eastAsia="仿宋_GB2312" w:cs="Times New Roman"/>
              </w:rPr>
              <w:t>项目绿色建筑预评价或绿色建筑设计或运营标识证书</w:t>
            </w:r>
            <w:r>
              <w:rPr>
                <w:rFonts w:hint="eastAsia" w:ascii="Times New Roman" w:hAnsi="Times New Roman" w:eastAsia="仿宋_GB2312" w:cs="Times New Roman"/>
              </w:rPr>
              <w:t>；</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2</w:t>
            </w:r>
            <w:r>
              <w:rPr>
                <w:rFonts w:hint="eastAsia" w:ascii="Times New Roman" w:hAnsi="Times New Roman" w:eastAsia="仿宋_GB2312" w:cs="Times New Roman"/>
              </w:rPr>
              <w:t xml:space="preserve"> </w:t>
            </w:r>
            <w:r>
              <w:rPr>
                <w:rFonts w:ascii="Times New Roman" w:hAnsi="Times New Roman" w:eastAsia="仿宋_GB2312" w:cs="Times New Roman"/>
              </w:rPr>
              <w:t>项目按照相关标准全套自评价资料</w:t>
            </w:r>
            <w:r>
              <w:rPr>
                <w:rFonts w:hint="eastAsia" w:ascii="Times New Roman" w:hAnsi="Times New Roman" w:eastAsia="仿宋_GB2312" w:cs="Times New Roman"/>
              </w:rPr>
              <w:t>；</w:t>
            </w:r>
          </w:p>
          <w:p>
            <w:pPr>
              <w:widowControl/>
              <w:jc w:val="left"/>
              <w:textAlignment w:val="center"/>
            </w:pPr>
            <w:r>
              <w:rPr>
                <w:rFonts w:hint="eastAsia" w:ascii="Times New Roman" w:hAnsi="Times New Roman" w:eastAsia="仿宋_GB2312" w:cs="Times New Roman"/>
              </w:rPr>
              <w:t>（</w:t>
            </w:r>
            <w:r>
              <w:rPr>
                <w:rFonts w:ascii="Times New Roman" w:hAnsi="Times New Roman" w:eastAsia="仿宋_GB2312" w:cs="Times New Roman"/>
              </w:rPr>
              <w:t>当没有1时提供2</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724" w:type="dxa"/>
            <w:vMerge w:val="continue"/>
            <w:shd w:val="clear" w:color="auto" w:fill="auto"/>
            <w:noWrap/>
            <w:vAlign w:val="center"/>
          </w:tcPr>
          <w:p>
            <w:pPr>
              <w:jc w:val="center"/>
              <w:rPr>
                <w:rFonts w:ascii="Times New Roman" w:hAnsi="Times New Roman" w:eastAsia="仿宋_GB2312" w:cs="Times New Roman"/>
                <w:szCs w:val="21"/>
              </w:rPr>
            </w:pPr>
          </w:p>
        </w:tc>
        <w:tc>
          <w:tcPr>
            <w:tcW w:w="1076" w:type="dxa"/>
            <w:vMerge w:val="continue"/>
            <w:shd w:val="clear" w:color="auto" w:fill="auto"/>
            <w:vAlign w:val="center"/>
          </w:tcPr>
          <w:p>
            <w:pPr>
              <w:jc w:val="center"/>
              <w:rPr>
                <w:rFonts w:ascii="Times New Roman" w:hAnsi="Times New Roman" w:eastAsia="仿宋_GB2312" w:cs="Times New Roman"/>
                <w:szCs w:val="21"/>
              </w:rPr>
            </w:pPr>
          </w:p>
        </w:tc>
        <w:tc>
          <w:tcPr>
            <w:tcW w:w="4966" w:type="dxa"/>
            <w:gridSpan w:val="2"/>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5 </w:t>
            </w:r>
            <w:r>
              <w:rPr>
                <w:rFonts w:ascii="Times New Roman" w:hAnsi="Times New Roman" w:eastAsia="仿宋_GB2312" w:cs="Times New Roman"/>
              </w:rPr>
              <w:t>具有装配式建筑专利技术或软件著作权3项以上，得5分</w:t>
            </w:r>
            <w:r>
              <w:rPr>
                <w:rFonts w:hint="eastAsia" w:ascii="Times New Roman" w:hAnsi="Times New Roman" w:eastAsia="仿宋_GB2312" w:cs="Times New Roman"/>
              </w:rPr>
              <w:t>；</w:t>
            </w:r>
          </w:p>
        </w:tc>
        <w:tc>
          <w:tcPr>
            <w:tcW w:w="5858" w:type="dxa"/>
            <w:gridSpan w:val="2"/>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提供有效期内的相关专利证书或软件著作权</w:t>
            </w:r>
            <w:r>
              <w:rPr>
                <w:rFonts w:hint="eastAsia" w:ascii="Times New Roman" w:hAnsi="Times New Roman" w:eastAsia="仿宋_GB2312" w:cs="Times New Roman"/>
              </w:rPr>
              <w:t>；</w:t>
            </w:r>
          </w:p>
        </w:tc>
        <w:tc>
          <w:tcPr>
            <w:tcW w:w="1883"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724" w:type="dxa"/>
            <w:vMerge w:val="continue"/>
            <w:shd w:val="clear" w:color="auto" w:fill="auto"/>
            <w:noWrap/>
            <w:vAlign w:val="center"/>
          </w:tcPr>
          <w:p>
            <w:pPr>
              <w:jc w:val="center"/>
              <w:rPr>
                <w:rFonts w:ascii="Times New Roman" w:hAnsi="Times New Roman" w:eastAsia="仿宋_GB2312" w:cs="Times New Roman"/>
                <w:szCs w:val="21"/>
              </w:rPr>
            </w:pPr>
          </w:p>
        </w:tc>
        <w:tc>
          <w:tcPr>
            <w:tcW w:w="1076" w:type="dxa"/>
            <w:vMerge w:val="continue"/>
            <w:shd w:val="clear" w:color="auto" w:fill="auto"/>
            <w:vAlign w:val="center"/>
          </w:tcPr>
          <w:p>
            <w:pPr>
              <w:jc w:val="center"/>
              <w:rPr>
                <w:rFonts w:ascii="Times New Roman" w:hAnsi="Times New Roman" w:eastAsia="仿宋_GB2312" w:cs="Times New Roman"/>
                <w:szCs w:val="21"/>
              </w:rPr>
            </w:pPr>
          </w:p>
        </w:tc>
        <w:tc>
          <w:tcPr>
            <w:tcW w:w="4966" w:type="dxa"/>
            <w:gridSpan w:val="2"/>
            <w:shd w:val="clear" w:color="auto" w:fill="auto"/>
            <w:vAlign w:val="center"/>
          </w:tcPr>
          <w:p>
            <w:pPr>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6 </w:t>
            </w:r>
            <w:r>
              <w:rPr>
                <w:rFonts w:ascii="Times New Roman" w:hAnsi="Times New Roman" w:eastAsia="仿宋_GB2312" w:cs="Times New Roman"/>
              </w:rPr>
              <w:t>企业采用符合绿色化、工业化、信息化、集约化、产业化的创新技术应用证明，得5分</w:t>
            </w:r>
            <w:r>
              <w:rPr>
                <w:rFonts w:hint="eastAsia" w:ascii="Times New Roman" w:hAnsi="Times New Roman" w:eastAsia="仿宋_GB2312" w:cs="Times New Roman"/>
              </w:rPr>
              <w:t>；</w:t>
            </w:r>
          </w:p>
        </w:tc>
        <w:tc>
          <w:tcPr>
            <w:tcW w:w="5858" w:type="dxa"/>
            <w:gridSpan w:val="2"/>
            <w:shd w:val="clear" w:color="auto" w:fill="auto"/>
            <w:vAlign w:val="center"/>
          </w:tcPr>
          <w:p>
            <w:pPr>
              <w:jc w:val="left"/>
              <w:textAlignment w:val="center"/>
              <w:rPr>
                <w:rFonts w:ascii="Times New Roman" w:hAnsi="Times New Roman" w:eastAsia="仿宋_GB2312" w:cs="Times New Roman"/>
              </w:rPr>
            </w:pPr>
            <w:r>
              <w:rPr>
                <w:rFonts w:ascii="Times New Roman" w:hAnsi="Times New Roman" w:eastAsia="仿宋_GB2312" w:cs="Times New Roman"/>
              </w:rPr>
              <w:t>提供创新技术的相关佐证资料及在实际工程项目的实施证明等</w:t>
            </w:r>
            <w:r>
              <w:rPr>
                <w:rFonts w:hint="eastAsia" w:ascii="Times New Roman" w:hAnsi="Times New Roman" w:eastAsia="仿宋_GB2312" w:cs="Times New Roman"/>
              </w:rPr>
              <w:t>；</w:t>
            </w:r>
          </w:p>
        </w:tc>
        <w:tc>
          <w:tcPr>
            <w:tcW w:w="1883" w:type="dxa"/>
            <w:shd w:val="clear" w:color="auto" w:fill="auto"/>
            <w:vAlign w:val="center"/>
          </w:tcPr>
          <w:p>
            <w:pPr>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2624" w:type="dxa"/>
            <w:gridSpan w:val="6"/>
            <w:shd w:val="clear" w:color="auto" w:fill="auto"/>
            <w:noWrap/>
            <w:vAlign w:val="center"/>
          </w:tcPr>
          <w:p>
            <w:pPr>
              <w:jc w:val="center"/>
              <w:textAlignment w:val="center"/>
              <w:rPr>
                <w:rFonts w:ascii="Times New Roman" w:hAnsi="Times New Roman" w:eastAsia="仿宋_GB2312" w:cs="Times New Roman"/>
              </w:rPr>
            </w:pPr>
            <w:r>
              <w:rPr>
                <w:rFonts w:hint="eastAsia" w:ascii="Times New Roman" w:hAnsi="Times New Roman" w:eastAsia="仿宋_GB2312" w:cs="Times New Roman"/>
                <w:b/>
                <w:bCs/>
                <w:color w:val="000000"/>
                <w:kern w:val="0"/>
                <w:szCs w:val="21"/>
              </w:rPr>
              <w:t>企业自评</w:t>
            </w:r>
            <w:r>
              <w:rPr>
                <w:rFonts w:ascii="Times New Roman" w:hAnsi="Times New Roman" w:eastAsia="仿宋_GB2312" w:cs="Times New Roman"/>
                <w:b/>
                <w:bCs/>
                <w:color w:val="000000"/>
                <w:kern w:val="0"/>
                <w:szCs w:val="21"/>
              </w:rPr>
              <w:t>总分</w:t>
            </w:r>
          </w:p>
        </w:tc>
        <w:tc>
          <w:tcPr>
            <w:tcW w:w="1883" w:type="dxa"/>
            <w:shd w:val="clear" w:color="auto" w:fill="auto"/>
            <w:vAlign w:val="center"/>
          </w:tcPr>
          <w:p>
            <w:pPr>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4507" w:type="dxa"/>
            <w:gridSpan w:val="7"/>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企业评审意见：</w:t>
            </w: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bookmarkStart w:id="0" w:name="_GoBack"/>
            <w:bookmarkEnd w:id="0"/>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ind w:right="420"/>
              <w:jc w:val="right"/>
              <w:rPr>
                <w:rFonts w:hint="eastAsia"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年      月      日</w:t>
            </w:r>
          </w:p>
          <w:p>
            <w:pPr>
              <w:pStyle w:val="2"/>
              <w:ind w:right="420"/>
              <w:jc w:val="both"/>
              <w:rPr>
                <w:rFonts w:hint="eastAsia" w:ascii="Times New Roman" w:hAnsi="Times New Roman" w:eastAsia="仿宋_GB2312" w:cs="Times New Roman"/>
                <w:b/>
                <w:bCs/>
                <w:color w:val="000000"/>
                <w:kern w:val="0"/>
                <w:szCs w:val="21"/>
              </w:rPr>
            </w:pPr>
          </w:p>
        </w:tc>
      </w:tr>
    </w:tbl>
    <w:p>
      <w:pPr>
        <w:pStyle w:val="2"/>
      </w:pPr>
    </w:p>
    <w:sectPr>
      <w:footerReference r:id="rId3" w:type="default"/>
      <w:pgSz w:w="16838" w:h="11906" w:orient="landscape"/>
      <w:pgMar w:top="1440" w:right="1797" w:bottom="1440" w:left="1797" w:header="851" w:footer="992" w:gutter="0"/>
      <w:pgNumType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016DBFAB-8B94-4AAD-8B94-687EAA4F2FBB}"/>
  </w:font>
  <w:font w:name="仿宋_GB2312">
    <w:panose1 w:val="02010609030101010101"/>
    <w:charset w:val="86"/>
    <w:family w:val="modern"/>
    <w:pitch w:val="default"/>
    <w:sig w:usb0="00000001" w:usb1="080E0000" w:usb2="00000000" w:usb3="00000000" w:csb0="00040000" w:csb1="00000000"/>
    <w:embedRegular r:id="rId2" w:fontKey="{578E8DD0-86E0-4287-9F17-C9D4EAF6DED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7976"/>
      <w:docPartObj>
        <w:docPartGallery w:val="autotext"/>
      </w:docPartObj>
    </w:sdtPr>
    <w:sdtEndPr>
      <w:rPr>
        <w:rFonts w:ascii="宋体" w:hAnsi="宋体"/>
        <w:sz w:val="28"/>
        <w:szCs w:val="28"/>
      </w:rPr>
    </w:sdtEndPr>
    <w:sdtContent>
      <w:p>
        <w:pPr>
          <w:pStyle w:val="4"/>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15</w:t>
        </w:r>
        <w:r>
          <w:rPr>
            <w:rFonts w:ascii="宋体" w:hAnsi="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OTY1YzkwNmVjNWIzMTgyNTczOTY0YmIxZmQwN2YifQ=="/>
  </w:docVars>
  <w:rsids>
    <w:rsidRoot w:val="001221F5"/>
    <w:rsid w:val="00120500"/>
    <w:rsid w:val="001221F5"/>
    <w:rsid w:val="00131395"/>
    <w:rsid w:val="001C6699"/>
    <w:rsid w:val="001C6A01"/>
    <w:rsid w:val="002A2004"/>
    <w:rsid w:val="00493DFD"/>
    <w:rsid w:val="00591BF3"/>
    <w:rsid w:val="00635BBE"/>
    <w:rsid w:val="00661510"/>
    <w:rsid w:val="00673010"/>
    <w:rsid w:val="00903836"/>
    <w:rsid w:val="009969DF"/>
    <w:rsid w:val="009A4E56"/>
    <w:rsid w:val="009E69C9"/>
    <w:rsid w:val="00A729BB"/>
    <w:rsid w:val="00B346B7"/>
    <w:rsid w:val="00B6257C"/>
    <w:rsid w:val="00BC2119"/>
    <w:rsid w:val="00E108D5"/>
    <w:rsid w:val="00E9495B"/>
    <w:rsid w:val="00EE771B"/>
    <w:rsid w:val="00FB2DDD"/>
    <w:rsid w:val="00FC5277"/>
    <w:rsid w:val="04216DB0"/>
    <w:rsid w:val="08BC39AA"/>
    <w:rsid w:val="0A485678"/>
    <w:rsid w:val="0D6316ED"/>
    <w:rsid w:val="0E3D55B9"/>
    <w:rsid w:val="0F67B49B"/>
    <w:rsid w:val="10343FF5"/>
    <w:rsid w:val="110550AF"/>
    <w:rsid w:val="11084FFD"/>
    <w:rsid w:val="11FD79A7"/>
    <w:rsid w:val="18085841"/>
    <w:rsid w:val="190226F1"/>
    <w:rsid w:val="1CCD3443"/>
    <w:rsid w:val="1DEF6F8A"/>
    <w:rsid w:val="1E0F1046"/>
    <w:rsid w:val="1ECE0AC9"/>
    <w:rsid w:val="1F7472AC"/>
    <w:rsid w:val="21050EA9"/>
    <w:rsid w:val="27250FE1"/>
    <w:rsid w:val="27596754"/>
    <w:rsid w:val="275D050C"/>
    <w:rsid w:val="2B3A4141"/>
    <w:rsid w:val="33A94FA5"/>
    <w:rsid w:val="347519C0"/>
    <w:rsid w:val="34BF0444"/>
    <w:rsid w:val="357101F7"/>
    <w:rsid w:val="36723333"/>
    <w:rsid w:val="37A4DFC1"/>
    <w:rsid w:val="39FF3494"/>
    <w:rsid w:val="3C7D0A01"/>
    <w:rsid w:val="3F231CB2"/>
    <w:rsid w:val="42E72276"/>
    <w:rsid w:val="4564312A"/>
    <w:rsid w:val="467E2DDB"/>
    <w:rsid w:val="482D0EBA"/>
    <w:rsid w:val="51542B62"/>
    <w:rsid w:val="552C7C40"/>
    <w:rsid w:val="56D5550F"/>
    <w:rsid w:val="56E116D0"/>
    <w:rsid w:val="57B80B3C"/>
    <w:rsid w:val="59A95426"/>
    <w:rsid w:val="5ABC1B1F"/>
    <w:rsid w:val="5B551878"/>
    <w:rsid w:val="5B623201"/>
    <w:rsid w:val="5C7631F8"/>
    <w:rsid w:val="5F2D647F"/>
    <w:rsid w:val="614D3EB8"/>
    <w:rsid w:val="647C5F29"/>
    <w:rsid w:val="65B17B23"/>
    <w:rsid w:val="68D6616E"/>
    <w:rsid w:val="6A6BE648"/>
    <w:rsid w:val="6E212A85"/>
    <w:rsid w:val="6F6B7AE6"/>
    <w:rsid w:val="6F8F0CED"/>
    <w:rsid w:val="6FDB9143"/>
    <w:rsid w:val="73D10FFE"/>
    <w:rsid w:val="762956B4"/>
    <w:rsid w:val="77B04FAE"/>
    <w:rsid w:val="788D770B"/>
    <w:rsid w:val="7BDFE93C"/>
    <w:rsid w:val="7E136219"/>
    <w:rsid w:val="7ED40A6A"/>
    <w:rsid w:val="7F7C66AA"/>
    <w:rsid w:val="7FFF9195"/>
    <w:rsid w:val="8AF5D0AC"/>
    <w:rsid w:val="8FEEA4BB"/>
    <w:rsid w:val="9FFF6D85"/>
    <w:rsid w:val="A3733BC2"/>
    <w:rsid w:val="AD0D7D82"/>
    <w:rsid w:val="AEFB2848"/>
    <w:rsid w:val="B4FFA51E"/>
    <w:rsid w:val="C7FFDA2E"/>
    <w:rsid w:val="CB7D5C59"/>
    <w:rsid w:val="CF9FF7FC"/>
    <w:rsid w:val="D6FFE0FF"/>
    <w:rsid w:val="D7C5288B"/>
    <w:rsid w:val="DFFD7AE9"/>
    <w:rsid w:val="EEBB0E51"/>
    <w:rsid w:val="EEFED62D"/>
    <w:rsid w:val="EF9BB293"/>
    <w:rsid w:val="F4FE1245"/>
    <w:rsid w:val="F6DF8B3D"/>
    <w:rsid w:val="F7BD444E"/>
    <w:rsid w:val="F7FDD59D"/>
    <w:rsid w:val="FEAF153C"/>
    <w:rsid w:val="FED0B5C7"/>
    <w:rsid w:val="FEFFD702"/>
    <w:rsid w:val="FF4FBC4A"/>
    <w:rsid w:val="FFBB7AE9"/>
    <w:rsid w:val="FFFDC5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annotation text"/>
    <w:basedOn w:val="1"/>
    <w:qFormat/>
    <w:uiPriority w:val="0"/>
    <w:pPr>
      <w:jc w:val="left"/>
    </w:p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annotation reference"/>
    <w:basedOn w:val="8"/>
    <w:qFormat/>
    <w:uiPriority w:val="0"/>
    <w:rPr>
      <w:sz w:val="21"/>
      <w:szCs w:val="21"/>
    </w:rPr>
  </w:style>
  <w:style w:type="character" w:customStyle="1" w:styleId="10">
    <w:name w:val="页脚 Char"/>
    <w:basedOn w:val="8"/>
    <w:link w:val="4"/>
    <w:qFormat/>
    <w:uiPriority w:val="99"/>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Win10NeT.COM</Company>
  <Pages>5</Pages>
  <Words>2739</Words>
  <Characters>2819</Characters>
  <Lines>21</Lines>
  <Paragraphs>6</Paragraphs>
  <TotalTime>6</TotalTime>
  <ScaleCrop>false</ScaleCrop>
  <LinksUpToDate>false</LinksUpToDate>
  <CharactersWithSpaces>2880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2022-05-05T17:31:00Z</dcterms:created>
  <dc:creator>Administrator</dc:creator>
  <cp:lastModifiedBy>11974</cp:lastModifiedBy>
  <cp:lastPrinted>2022-06-10T02:50:00Z</cp:lastPrinted>
  <dcterms:modified xsi:type="dcterms:W3CDTF">2022-10-10T04:53:29Z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3D25FE0B1CD640518E006693E6FD0D42</vt:lpwstr>
  </property>
</Properties>
</file>