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湖南省房屋建筑和市政基础设施</w:t>
      </w:r>
    </w:p>
    <w:p>
      <w:pPr>
        <w:spacing w:line="720"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工程建设项目招标代理机构监管办法</w:t>
      </w:r>
    </w:p>
    <w:p>
      <w:pPr>
        <w:spacing w:line="720" w:lineRule="exact"/>
        <w:jc w:val="center"/>
        <w:rPr>
          <w:rFonts w:hint="eastAsia" w:ascii="楷体" w:hAnsi="楷体" w:eastAsia="楷体" w:cs="楷体"/>
          <w:b w:val="0"/>
          <w:bCs w:val="0"/>
          <w:color w:val="auto"/>
          <w:sz w:val="32"/>
          <w:szCs w:val="32"/>
          <w:lang w:val="en-US" w:eastAsia="zh-CN"/>
        </w:rPr>
      </w:pPr>
      <w:r>
        <w:rPr>
          <w:rFonts w:hint="eastAsia" w:ascii="楷体" w:hAnsi="楷体" w:eastAsia="楷体" w:cs="楷体"/>
          <w:b w:val="0"/>
          <w:bCs w:val="0"/>
          <w:color w:val="auto"/>
          <w:sz w:val="32"/>
          <w:szCs w:val="32"/>
          <w:lang w:val="en-US" w:eastAsia="zh-CN"/>
        </w:rPr>
        <w:t>（征求意见稿）</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eastAsia" w:ascii="黑体" w:hAnsi="宋体" w:eastAsia="黑体" w:cs="黑体"/>
          <w:i w:val="0"/>
          <w:iCs w:val="0"/>
          <w:caps w:val="0"/>
          <w:color w:val="auto"/>
          <w:spacing w:val="0"/>
          <w:kern w:val="0"/>
          <w:sz w:val="32"/>
          <w:szCs w:val="32"/>
          <w:shd w:val="clear" w:color="auto" w:fill="FFFFFF"/>
          <w:lang w:val="en-US" w:eastAsia="zh-CN" w:bidi="ar"/>
        </w:rPr>
      </w:pPr>
      <w:r>
        <w:rPr>
          <w:rFonts w:hint="eastAsia" w:ascii="黑体" w:hAnsi="宋体" w:eastAsia="黑体" w:cs="黑体"/>
          <w:i w:val="0"/>
          <w:iCs w:val="0"/>
          <w:caps w:val="0"/>
          <w:color w:val="auto"/>
          <w:spacing w:val="0"/>
          <w:kern w:val="0"/>
          <w:sz w:val="32"/>
          <w:szCs w:val="32"/>
          <w:shd w:val="clear" w:color="auto" w:fill="FFFFFF"/>
          <w:lang w:val="en-US" w:eastAsia="zh-CN" w:bidi="ar"/>
        </w:rPr>
        <w:t>第一章</w:t>
      </w:r>
      <w:r>
        <w:rPr>
          <w:rFonts w:hint="default" w:ascii="黑体" w:hAnsi="宋体" w:eastAsia="黑体" w:cs="黑体"/>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总则</w:t>
      </w:r>
    </w:p>
    <w:p>
      <w:pPr>
        <w:ind w:firstLine="624" w:firstLineChars="200"/>
        <w:rPr>
          <w:rFonts w:cs="Times New Roman"/>
          <w:color w:val="auto"/>
          <w:szCs w:val="32"/>
        </w:rPr>
      </w:pPr>
      <w:r>
        <w:rPr>
          <w:rFonts w:cs="Times New Roman"/>
          <w:b/>
          <w:bCs/>
          <w:color w:val="auto"/>
          <w:szCs w:val="32"/>
        </w:rPr>
        <w:t>第一条</w:t>
      </w:r>
      <w:r>
        <w:rPr>
          <w:rFonts w:hint="eastAsia" w:cs="Times New Roman"/>
          <w:color w:val="auto"/>
          <w:szCs w:val="32"/>
        </w:rPr>
        <w:t xml:space="preserve"> </w:t>
      </w:r>
      <w:r>
        <w:rPr>
          <w:rFonts w:cs="Times New Roman"/>
          <w:color w:val="auto"/>
          <w:szCs w:val="32"/>
        </w:rPr>
        <w:t>为规范房屋建筑和市政基础设施工程建设项目</w:t>
      </w:r>
      <w:r>
        <w:rPr>
          <w:rFonts w:hint="eastAsia" w:cs="Times New Roman"/>
          <w:color w:val="auto"/>
          <w:szCs w:val="32"/>
          <w:lang w:eastAsia="zh-CN"/>
        </w:rPr>
        <w:t>（</w:t>
      </w:r>
      <w:r>
        <w:rPr>
          <w:rFonts w:hint="eastAsia" w:cs="Times New Roman"/>
          <w:color w:val="auto"/>
          <w:szCs w:val="32"/>
          <w:lang w:val="en-US" w:eastAsia="zh-CN"/>
        </w:rPr>
        <w:t>简称“房建市政项目”）</w:t>
      </w:r>
      <w:r>
        <w:rPr>
          <w:rFonts w:cs="Times New Roman"/>
          <w:color w:val="auto"/>
          <w:szCs w:val="32"/>
        </w:rPr>
        <w:t>招标代理机构及专职人员从业行为，促进招标代理行业</w:t>
      </w:r>
      <w:r>
        <w:rPr>
          <w:rFonts w:hint="eastAsia" w:cs="Times New Roman"/>
          <w:color w:val="auto"/>
          <w:szCs w:val="32"/>
          <w:lang w:val="en-US" w:eastAsia="zh-CN"/>
        </w:rPr>
        <w:t>的</w:t>
      </w:r>
      <w:r>
        <w:rPr>
          <w:rFonts w:cs="Times New Roman"/>
          <w:color w:val="auto"/>
          <w:szCs w:val="32"/>
        </w:rPr>
        <w:t>健康发展，根据《中华人民共和国招标投标法》及其实施条例、</w:t>
      </w:r>
      <w:r>
        <w:rPr>
          <w:rFonts w:hint="eastAsia" w:cs="Times New Roman"/>
          <w:color w:val="auto"/>
          <w:szCs w:val="32"/>
          <w:lang w:eastAsia="zh-CN"/>
        </w:rPr>
        <w:t>《</w:t>
      </w:r>
      <w:r>
        <w:rPr>
          <w:rFonts w:hint="eastAsia" w:cs="Times New Roman"/>
          <w:color w:val="auto"/>
          <w:szCs w:val="32"/>
          <w:lang w:val="en-US" w:eastAsia="zh-CN"/>
        </w:rPr>
        <w:t>国务院办公厅</w:t>
      </w:r>
      <w:r>
        <w:rPr>
          <w:rFonts w:hint="eastAsia" w:cs="Times New Roman"/>
          <w:color w:val="auto"/>
          <w:szCs w:val="32"/>
          <w:lang w:eastAsia="zh-CN"/>
        </w:rPr>
        <w:t>关于加快推进社会信用体系建设构建以信用为基础的新型监管机制的指导意见》、</w:t>
      </w:r>
      <w:r>
        <w:rPr>
          <w:rFonts w:cs="Times New Roman"/>
          <w:color w:val="auto"/>
          <w:szCs w:val="32"/>
        </w:rPr>
        <w:t>《住房城乡建设部办公厅关于取消工程建设项目招标代理机构资格认定加强事中事后监管的通知》等法律法规和政策文件，制定本办法。</w:t>
      </w:r>
    </w:p>
    <w:p>
      <w:pPr>
        <w:ind w:firstLine="624" w:firstLineChars="200"/>
        <w:rPr>
          <w:rFonts w:cs="Times New Roman"/>
          <w:color w:val="auto"/>
          <w:szCs w:val="32"/>
        </w:rPr>
      </w:pPr>
      <w:r>
        <w:rPr>
          <w:rFonts w:cs="Times New Roman"/>
          <w:b/>
          <w:color w:val="auto"/>
          <w:szCs w:val="32"/>
        </w:rPr>
        <w:t>第二条</w:t>
      </w:r>
      <w:r>
        <w:rPr>
          <w:rFonts w:hint="eastAsia" w:cs="Times New Roman"/>
          <w:b/>
          <w:color w:val="auto"/>
          <w:szCs w:val="32"/>
        </w:rPr>
        <w:t xml:space="preserve"> </w:t>
      </w:r>
      <w:r>
        <w:rPr>
          <w:rFonts w:cs="Times New Roman"/>
          <w:color w:val="auto"/>
          <w:szCs w:val="32"/>
        </w:rPr>
        <w:t>本省行政区域内</w:t>
      </w:r>
      <w:r>
        <w:rPr>
          <w:rFonts w:cs="Times New Roman"/>
          <w:color w:val="auto"/>
          <w:szCs w:val="32"/>
        </w:rPr>
        <w:t>从</w:t>
      </w:r>
      <w:r>
        <w:rPr>
          <w:rFonts w:hint="eastAsia" w:cs="Times New Roman"/>
          <w:color w:val="auto"/>
          <w:szCs w:val="32"/>
          <w:lang w:val="en-US" w:eastAsia="zh-CN"/>
        </w:rPr>
        <w:t>事房建市政项目招标代理活动</w:t>
      </w:r>
      <w:r>
        <w:rPr>
          <w:rFonts w:cs="Times New Roman"/>
          <w:color w:val="auto"/>
          <w:szCs w:val="32"/>
        </w:rPr>
        <w:t>的招标代理机构</w:t>
      </w:r>
      <w:r>
        <w:rPr>
          <w:rFonts w:hint="eastAsia" w:cs="Times New Roman"/>
          <w:color w:val="auto"/>
          <w:szCs w:val="32"/>
          <w:lang w:eastAsia="zh-CN"/>
        </w:rPr>
        <w:t>（</w:t>
      </w:r>
      <w:r>
        <w:rPr>
          <w:rFonts w:hint="eastAsia" w:cs="Times New Roman"/>
          <w:color w:val="auto"/>
          <w:szCs w:val="32"/>
          <w:lang w:val="en-US" w:eastAsia="zh-CN"/>
        </w:rPr>
        <w:t>简称“房建市政项目招标代理机构”）</w:t>
      </w:r>
      <w:r>
        <w:rPr>
          <w:rFonts w:cs="Times New Roman"/>
          <w:color w:val="auto"/>
          <w:szCs w:val="32"/>
        </w:rPr>
        <w:t>及专职人员的</w:t>
      </w:r>
      <w:r>
        <w:rPr>
          <w:rFonts w:hint="eastAsia" w:cs="Times New Roman"/>
          <w:color w:val="auto"/>
          <w:szCs w:val="32"/>
        </w:rPr>
        <w:t>监管</w:t>
      </w:r>
      <w:r>
        <w:rPr>
          <w:rFonts w:cs="Times New Roman"/>
          <w:color w:val="auto"/>
          <w:szCs w:val="32"/>
        </w:rPr>
        <w:t>，适用本办法。</w:t>
      </w:r>
    </w:p>
    <w:p>
      <w:pPr>
        <w:ind w:firstLine="624" w:firstLineChars="200"/>
        <w:rPr>
          <w:rFonts w:cs="Times New Roman"/>
          <w:color w:val="auto"/>
          <w:szCs w:val="32"/>
        </w:rPr>
      </w:pPr>
      <w:r>
        <w:rPr>
          <w:rFonts w:cs="Times New Roman"/>
          <w:color w:val="auto"/>
          <w:szCs w:val="32"/>
        </w:rPr>
        <w:t>前款所称招标代理机构是指依法设立、从事招标代理业务并提供相关服务的社会中介组织；所称专职人员是指具有工程建设类职称或工程建设类注册执业资格，从事工程招标代理工作的本单位在职人员。</w:t>
      </w:r>
    </w:p>
    <w:p>
      <w:pPr>
        <w:ind w:firstLine="624" w:firstLineChars="200"/>
        <w:rPr>
          <w:rFonts w:cs="Times New Roman"/>
          <w:color w:val="auto"/>
          <w:szCs w:val="32"/>
        </w:rPr>
      </w:pPr>
      <w:r>
        <w:rPr>
          <w:rFonts w:cs="Times New Roman"/>
          <w:b/>
          <w:color w:val="auto"/>
          <w:szCs w:val="32"/>
        </w:rPr>
        <w:t>第三条</w:t>
      </w:r>
      <w:r>
        <w:rPr>
          <w:rFonts w:hint="eastAsia" w:cs="Times New Roman"/>
          <w:b/>
          <w:color w:val="auto"/>
          <w:szCs w:val="32"/>
        </w:rPr>
        <w:t xml:space="preserve"> </w:t>
      </w:r>
      <w:r>
        <w:rPr>
          <w:rFonts w:cs="Times New Roman"/>
          <w:color w:val="auto"/>
          <w:szCs w:val="32"/>
        </w:rPr>
        <w:t>省住房城乡建设主管部门负责制定本省行政区域</w:t>
      </w:r>
      <w:r>
        <w:rPr>
          <w:rFonts w:hint="eastAsia" w:cs="Times New Roman"/>
          <w:color w:val="auto"/>
          <w:lang w:val="en-US" w:eastAsia="zh-CN"/>
        </w:rPr>
        <w:t>房建市政项目</w:t>
      </w:r>
      <w:r>
        <w:rPr>
          <w:rFonts w:cs="Times New Roman"/>
          <w:color w:val="auto"/>
          <w:szCs w:val="32"/>
        </w:rPr>
        <w:t>招标代理机构及专职人员</w:t>
      </w:r>
      <w:r>
        <w:rPr>
          <w:rFonts w:hint="eastAsia" w:cs="Times New Roman"/>
          <w:color w:val="auto"/>
          <w:szCs w:val="32"/>
        </w:rPr>
        <w:t>监管</w:t>
      </w:r>
      <w:r>
        <w:rPr>
          <w:rFonts w:cs="Times New Roman"/>
          <w:color w:val="auto"/>
          <w:szCs w:val="32"/>
        </w:rPr>
        <w:t>办法</w:t>
      </w:r>
      <w:r>
        <w:rPr>
          <w:rFonts w:hint="eastAsia" w:cs="Times New Roman"/>
          <w:color w:val="auto"/>
          <w:szCs w:val="32"/>
          <w:lang w:eastAsia="zh-CN"/>
        </w:rPr>
        <w:t>，</w:t>
      </w:r>
      <w:r>
        <w:rPr>
          <w:rFonts w:cs="Times New Roman"/>
          <w:color w:val="auto"/>
          <w:szCs w:val="32"/>
        </w:rPr>
        <w:t>开发“湖南省</w:t>
      </w:r>
      <w:r>
        <w:rPr>
          <w:rFonts w:hint="eastAsia" w:cs="Times New Roman"/>
          <w:color w:val="auto"/>
          <w:szCs w:val="32"/>
        </w:rPr>
        <w:t>招标代理机构</w:t>
      </w:r>
      <w:r>
        <w:rPr>
          <w:rFonts w:cs="Times New Roman"/>
          <w:color w:val="auto"/>
          <w:szCs w:val="32"/>
        </w:rPr>
        <w:t>监管平台”（简称“监管平台”）</w:t>
      </w:r>
      <w:r>
        <w:rPr>
          <w:rFonts w:hint="eastAsia" w:cs="Times New Roman"/>
          <w:color w:val="auto"/>
          <w:szCs w:val="32"/>
          <w:lang w:eastAsia="zh-CN"/>
        </w:rPr>
        <w:t>，</w:t>
      </w:r>
      <w:r>
        <w:rPr>
          <w:rFonts w:hint="eastAsia" w:cs="Times New Roman"/>
          <w:color w:val="auto"/>
          <w:szCs w:val="32"/>
          <w:lang w:val="en-US" w:eastAsia="zh-CN"/>
        </w:rPr>
        <w:t>对全省</w:t>
      </w:r>
      <w:r>
        <w:rPr>
          <w:rFonts w:hint="eastAsia" w:cs="Times New Roman"/>
          <w:color w:val="auto"/>
          <w:lang w:val="en-US" w:eastAsia="zh-CN"/>
        </w:rPr>
        <w:t>房建市政项目</w:t>
      </w:r>
      <w:r>
        <w:rPr>
          <w:rFonts w:cs="Times New Roman"/>
          <w:color w:val="auto"/>
          <w:szCs w:val="32"/>
        </w:rPr>
        <w:t>招标代理机构及专职人员</w:t>
      </w:r>
      <w:r>
        <w:rPr>
          <w:rFonts w:hint="eastAsia" w:cs="Times New Roman"/>
          <w:color w:val="auto"/>
          <w:szCs w:val="32"/>
          <w:lang w:val="en-US" w:eastAsia="zh-CN"/>
        </w:rPr>
        <w:t>监管工作进行</w:t>
      </w:r>
      <w:r>
        <w:rPr>
          <w:rFonts w:cs="Times New Roman"/>
          <w:color w:val="auto"/>
        </w:rPr>
        <w:t>监督指导。</w:t>
      </w:r>
    </w:p>
    <w:p>
      <w:pPr>
        <w:ind w:firstLine="624" w:firstLineChars="200"/>
        <w:rPr>
          <w:rFonts w:cs="Times New Roman"/>
          <w:color w:val="auto"/>
          <w:szCs w:val="32"/>
        </w:rPr>
      </w:pPr>
      <w:r>
        <w:rPr>
          <w:rFonts w:cs="Times New Roman"/>
          <w:color w:val="auto"/>
          <w:szCs w:val="32"/>
        </w:rPr>
        <w:t>县级</w:t>
      </w:r>
      <w:r>
        <w:rPr>
          <w:rFonts w:hint="eastAsia" w:cs="Times New Roman"/>
          <w:color w:val="auto"/>
          <w:szCs w:val="32"/>
        </w:rPr>
        <w:t>及</w:t>
      </w:r>
      <w:r>
        <w:rPr>
          <w:rFonts w:cs="Times New Roman"/>
          <w:color w:val="auto"/>
          <w:szCs w:val="32"/>
        </w:rPr>
        <w:t>以上住房城乡建设主管部门负责其行政区域内</w:t>
      </w:r>
      <w:r>
        <w:rPr>
          <w:rFonts w:hint="eastAsia" w:cs="Times New Roman"/>
          <w:color w:val="auto"/>
          <w:szCs w:val="32"/>
          <w:lang w:val="en-US" w:eastAsia="zh-CN"/>
        </w:rPr>
        <w:t>房建市政项目</w:t>
      </w:r>
      <w:r>
        <w:rPr>
          <w:rFonts w:cs="Times New Roman"/>
          <w:color w:val="auto"/>
          <w:szCs w:val="32"/>
        </w:rPr>
        <w:t>招标代理机构及专职人员的监管。</w:t>
      </w:r>
    </w:p>
    <w:p>
      <w:pPr>
        <w:ind w:firstLine="624" w:firstLineChars="200"/>
        <w:rPr>
          <w:rFonts w:cs="Times New Roman"/>
          <w:b/>
          <w:color w:val="auto"/>
          <w:szCs w:val="32"/>
        </w:rPr>
      </w:pPr>
      <w:r>
        <w:rPr>
          <w:rFonts w:cs="Times New Roman"/>
          <w:b/>
          <w:color w:val="auto"/>
          <w:szCs w:val="32"/>
        </w:rPr>
        <w:t>第四条</w:t>
      </w:r>
      <w:r>
        <w:rPr>
          <w:rFonts w:hint="eastAsia" w:cs="Times New Roman"/>
          <w:b/>
          <w:color w:val="auto"/>
          <w:szCs w:val="32"/>
        </w:rPr>
        <w:t xml:space="preserve"> </w:t>
      </w:r>
      <w:r>
        <w:rPr>
          <w:rFonts w:cs="Times New Roman"/>
          <w:bCs/>
          <w:color w:val="auto"/>
          <w:szCs w:val="32"/>
        </w:rPr>
        <w:t>招标代理活动应当遵循公开、公平、</w:t>
      </w:r>
      <w:r>
        <w:rPr>
          <w:rFonts w:cs="Times New Roman"/>
          <w:color w:val="auto"/>
          <w:szCs w:val="32"/>
        </w:rPr>
        <w:t>公正和诚实信用原则。</w:t>
      </w:r>
    </w:p>
    <w:p>
      <w:pPr>
        <w:ind w:firstLine="624" w:firstLineChars="200"/>
        <w:rPr>
          <w:rFonts w:cs="Times New Roman"/>
          <w:color w:val="auto"/>
          <w:szCs w:val="32"/>
        </w:rPr>
      </w:pPr>
      <w:r>
        <w:rPr>
          <w:rFonts w:cs="Times New Roman"/>
          <w:b/>
          <w:bCs/>
          <w:color w:val="auto"/>
          <w:szCs w:val="32"/>
        </w:rPr>
        <w:t>第五条</w:t>
      </w:r>
      <w:r>
        <w:rPr>
          <w:rFonts w:hint="eastAsia" w:cs="Times New Roman"/>
          <w:b/>
          <w:color w:val="auto"/>
          <w:szCs w:val="32"/>
        </w:rPr>
        <w:t xml:space="preserve"> </w:t>
      </w:r>
      <w:r>
        <w:rPr>
          <w:rFonts w:cs="Times New Roman"/>
          <w:color w:val="auto"/>
          <w:szCs w:val="32"/>
        </w:rPr>
        <w:t>招标代理机构可以跨区域承担各类工程招标代理业务。任何单位和个人不得限制或排斥招标代理机构依法开展工程招标代理业务。</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default" w:ascii="Times New Roman" w:hAnsi="Times New Roman" w:cs="Times New Roman"/>
          <w:color w:val="auto"/>
          <w:sz w:val="21"/>
          <w:szCs w:val="21"/>
        </w:rPr>
      </w:pPr>
      <w:r>
        <w:rPr>
          <w:rFonts w:hint="eastAsia" w:ascii="黑体" w:hAnsi="宋体" w:eastAsia="黑体" w:cs="黑体"/>
          <w:i w:val="0"/>
          <w:iCs w:val="0"/>
          <w:caps w:val="0"/>
          <w:color w:val="auto"/>
          <w:spacing w:val="0"/>
          <w:kern w:val="0"/>
          <w:sz w:val="32"/>
          <w:szCs w:val="32"/>
          <w:shd w:val="clear" w:color="auto" w:fill="FFFFFF"/>
          <w:lang w:val="en-US" w:eastAsia="zh-CN" w:bidi="ar"/>
        </w:rPr>
        <w:t>第二章</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机构和人员管理</w:t>
      </w:r>
    </w:p>
    <w:p>
      <w:pPr>
        <w:ind w:firstLine="624" w:firstLineChars="200"/>
        <w:rPr>
          <w:rFonts w:cs="Times New Roman"/>
          <w:color w:val="auto"/>
          <w:szCs w:val="32"/>
        </w:rPr>
      </w:pPr>
      <w:r>
        <w:rPr>
          <w:rFonts w:cs="Times New Roman"/>
          <w:b/>
          <w:color w:val="auto"/>
          <w:szCs w:val="32"/>
        </w:rPr>
        <w:t>第六条</w:t>
      </w:r>
      <w:r>
        <w:rPr>
          <w:rFonts w:hint="eastAsia" w:cs="Times New Roman"/>
          <w:b/>
          <w:color w:val="auto"/>
          <w:szCs w:val="32"/>
        </w:rPr>
        <w:t xml:space="preserve"> </w:t>
      </w:r>
      <w:r>
        <w:rPr>
          <w:rFonts w:cs="Times New Roman"/>
          <w:color w:val="auto"/>
          <w:szCs w:val="32"/>
        </w:rPr>
        <w:t>在本省行政区域内</w:t>
      </w:r>
      <w:r>
        <w:rPr>
          <w:rFonts w:hint="eastAsia" w:cs="Times New Roman"/>
          <w:color w:val="auto"/>
          <w:szCs w:val="32"/>
          <w:lang w:val="en-US" w:eastAsia="zh-CN"/>
        </w:rPr>
        <w:t>房建市政项目</w:t>
      </w:r>
      <w:r>
        <w:rPr>
          <w:rFonts w:cs="Times New Roman"/>
          <w:color w:val="auto"/>
          <w:szCs w:val="32"/>
        </w:rPr>
        <w:t>招标代理机构登录“监管平台”报送基本信息。信息的内容包括：营业执照相关信息、专职人员信息、联系方式等。</w:t>
      </w:r>
    </w:p>
    <w:p>
      <w:pPr>
        <w:ind w:firstLine="624" w:firstLineChars="200"/>
        <w:rPr>
          <w:rFonts w:cs="Times New Roman"/>
          <w:color w:val="auto"/>
          <w:szCs w:val="32"/>
        </w:rPr>
      </w:pPr>
      <w:r>
        <w:rPr>
          <w:rFonts w:cs="Times New Roman"/>
          <w:color w:val="auto"/>
          <w:szCs w:val="32"/>
        </w:rPr>
        <w:t>招标代理机构应当按照有关规定，提供真实、准确、完整的信息，对其真实性和准确性负责，并及时核实在“监管平台”的信息内容。</w:t>
      </w:r>
    </w:p>
    <w:p>
      <w:pPr>
        <w:ind w:firstLine="624" w:firstLineChars="200"/>
        <w:rPr>
          <w:rFonts w:cs="Times New Roman"/>
          <w:color w:val="auto"/>
          <w:szCs w:val="32"/>
        </w:rPr>
      </w:pPr>
      <w:r>
        <w:rPr>
          <w:rFonts w:cs="Times New Roman"/>
          <w:b/>
          <w:color w:val="auto"/>
          <w:szCs w:val="32"/>
        </w:rPr>
        <w:t>第七条</w:t>
      </w:r>
      <w:r>
        <w:rPr>
          <w:rFonts w:hint="eastAsia" w:cs="Times New Roman"/>
          <w:b/>
          <w:color w:val="auto"/>
          <w:szCs w:val="32"/>
        </w:rPr>
        <w:t xml:space="preserve"> </w:t>
      </w:r>
      <w:r>
        <w:rPr>
          <w:rFonts w:cs="Times New Roman"/>
          <w:color w:val="auto"/>
          <w:szCs w:val="32"/>
        </w:rPr>
        <w:t>招标代理机构及其专职人员信息发生变更的，应当自情形发生之日起</w:t>
      </w:r>
      <w:r>
        <w:rPr>
          <w:rFonts w:hint="eastAsia" w:cs="Times New Roman"/>
          <w:color w:val="auto"/>
          <w:szCs w:val="32"/>
        </w:rPr>
        <w:t>5</w:t>
      </w:r>
      <w:r>
        <w:rPr>
          <w:rFonts w:cs="Times New Roman"/>
          <w:color w:val="auto"/>
          <w:szCs w:val="32"/>
        </w:rPr>
        <w:t>个工作日内办理变更手续，撤回原招标代理机构及其专职人员信息。</w:t>
      </w:r>
    </w:p>
    <w:p>
      <w:pPr>
        <w:ind w:firstLine="624" w:firstLineChars="200"/>
        <w:rPr>
          <w:color w:val="auto"/>
          <w:szCs w:val="32"/>
        </w:rPr>
      </w:pPr>
      <w:r>
        <w:rPr>
          <w:rFonts w:hint="eastAsia" w:cs="Times New Roman"/>
          <w:b/>
          <w:color w:val="auto"/>
          <w:szCs w:val="32"/>
          <w:lang w:val="en-US" w:eastAsia="zh-CN"/>
        </w:rPr>
        <w:t xml:space="preserve">第八条 </w:t>
      </w:r>
      <w:r>
        <w:rPr>
          <w:color w:val="auto"/>
          <w:szCs w:val="32"/>
        </w:rPr>
        <w:t>招标代理机构</w:t>
      </w:r>
      <w:r>
        <w:rPr>
          <w:rFonts w:hint="eastAsia"/>
          <w:color w:val="auto"/>
          <w:szCs w:val="32"/>
          <w:lang w:val="en-US" w:eastAsia="zh-CN"/>
        </w:rPr>
        <w:t>应当</w:t>
      </w:r>
      <w:r>
        <w:rPr>
          <w:color w:val="auto"/>
          <w:szCs w:val="32"/>
        </w:rPr>
        <w:t>与招标人签订书面委托</w:t>
      </w:r>
      <w:r>
        <w:rPr>
          <w:rFonts w:hint="eastAsia"/>
          <w:color w:val="auto"/>
          <w:szCs w:val="32"/>
          <w:lang w:val="en-US" w:eastAsia="zh-CN"/>
        </w:rPr>
        <w:t>招标代理</w:t>
      </w:r>
      <w:r>
        <w:rPr>
          <w:color w:val="auto"/>
          <w:szCs w:val="32"/>
        </w:rPr>
        <w:t>合同，</w:t>
      </w:r>
      <w:r>
        <w:rPr>
          <w:rFonts w:cs="Times New Roman"/>
          <w:color w:val="auto"/>
          <w:szCs w:val="32"/>
        </w:rPr>
        <w:t>组建招标代理项目组，</w:t>
      </w:r>
      <w:r>
        <w:rPr>
          <w:rFonts w:hint="eastAsia"/>
          <w:color w:val="auto"/>
          <w:szCs w:val="32"/>
          <w:lang w:val="en-US" w:eastAsia="zh-CN"/>
        </w:rPr>
        <w:t>明确</w:t>
      </w:r>
      <w:r>
        <w:rPr>
          <w:color w:val="auto"/>
          <w:szCs w:val="32"/>
        </w:rPr>
        <w:t>有关服务项目、服务内容、服务质量以及服务价格等</w:t>
      </w:r>
      <w:r>
        <w:rPr>
          <w:rFonts w:hint="eastAsia"/>
          <w:color w:val="auto"/>
          <w:szCs w:val="32"/>
          <w:lang w:val="en-US" w:eastAsia="zh-CN"/>
        </w:rPr>
        <w:t>内容</w:t>
      </w:r>
      <w:r>
        <w:rPr>
          <w:color w:val="auto"/>
          <w:szCs w:val="32"/>
        </w:rPr>
        <w:t>，</w:t>
      </w:r>
      <w:r>
        <w:rPr>
          <w:rFonts w:hint="eastAsia"/>
          <w:color w:val="auto"/>
          <w:szCs w:val="32"/>
          <w:lang w:val="en-US" w:eastAsia="zh-CN"/>
        </w:rPr>
        <w:t>并</w:t>
      </w:r>
      <w:r>
        <w:rPr>
          <w:color w:val="auto"/>
          <w:szCs w:val="32"/>
        </w:rPr>
        <w:t>在合同约定的范围内实施招标代理。</w:t>
      </w:r>
    </w:p>
    <w:p>
      <w:pPr>
        <w:ind w:firstLine="624" w:firstLineChars="200"/>
        <w:rPr>
          <w:rFonts w:hint="eastAsia"/>
          <w:color w:val="auto"/>
          <w:szCs w:val="32"/>
          <w:u w:val="none"/>
          <w:lang w:val="en-US" w:eastAsia="zh-CN"/>
        </w:rPr>
      </w:pPr>
      <w:r>
        <w:rPr>
          <w:rFonts w:hint="eastAsia"/>
          <w:color w:val="auto"/>
          <w:szCs w:val="32"/>
          <w:u w:val="none"/>
          <w:lang w:val="en-US" w:eastAsia="zh-CN"/>
        </w:rPr>
        <w:t>招标代理机构应当在承接的房建市政项目招标公告中载明委托代理合同约定的支付单位及招标代理服务费用。</w:t>
      </w:r>
    </w:p>
    <w:p>
      <w:pPr>
        <w:ind w:firstLine="624" w:firstLineChars="200"/>
        <w:rPr>
          <w:rFonts w:hint="default" w:eastAsia="仿宋_GB2312"/>
          <w:color w:val="auto"/>
          <w:szCs w:val="32"/>
          <w:u w:val="none"/>
          <w:lang w:val="en-US" w:eastAsia="zh-CN"/>
        </w:rPr>
      </w:pPr>
      <w:r>
        <w:rPr>
          <w:rFonts w:hint="eastAsia" w:cs="Times New Roman"/>
          <w:b/>
          <w:bCs/>
          <w:color w:val="auto"/>
          <w:szCs w:val="32"/>
          <w:lang w:val="en-US" w:eastAsia="zh-CN"/>
        </w:rPr>
        <w:t>第九条</w:t>
      </w:r>
      <w:r>
        <w:rPr>
          <w:rFonts w:hint="eastAsia" w:cs="Times New Roman"/>
          <w:color w:val="auto"/>
          <w:szCs w:val="32"/>
          <w:lang w:val="en-US" w:eastAsia="zh-CN"/>
        </w:rPr>
        <w:t xml:space="preserve"> 招标</w:t>
      </w:r>
      <w:r>
        <w:rPr>
          <w:rFonts w:cs="Times New Roman"/>
          <w:color w:val="auto"/>
          <w:szCs w:val="32"/>
        </w:rPr>
        <w:t>代理机构</w:t>
      </w:r>
      <w:r>
        <w:rPr>
          <w:rFonts w:hint="eastAsia" w:cs="Times New Roman"/>
          <w:color w:val="auto"/>
          <w:szCs w:val="32"/>
          <w:lang w:val="en-US" w:eastAsia="zh-CN"/>
        </w:rPr>
        <w:t>承接房建市政项目勘察、设计、全过程咨询</w:t>
      </w:r>
      <w:r>
        <w:rPr>
          <w:rFonts w:cs="Times New Roman"/>
          <w:color w:val="auto"/>
          <w:szCs w:val="32"/>
        </w:rPr>
        <w:t>招标代理业务时，应当</w:t>
      </w:r>
      <w:r>
        <w:rPr>
          <w:rFonts w:hint="eastAsia" w:cs="Times New Roman"/>
          <w:color w:val="auto"/>
          <w:szCs w:val="32"/>
          <w:lang w:val="en-US" w:eastAsia="zh-CN"/>
        </w:rPr>
        <w:t>主动向招标人出具招标代理机构及拟任项目负责人最新一季度的省住房城乡建设主管部门信用评价报告（简称“双信用报告”），报送招标方案时应当将经招标人阅知、盖章确认的双信用报告作为招标代理委托合同附件上传。</w:t>
      </w:r>
    </w:p>
    <w:p>
      <w:pPr>
        <w:ind w:firstLine="624" w:firstLineChars="200"/>
        <w:rPr>
          <w:rFonts w:cs="Times New Roman"/>
          <w:color w:val="auto"/>
          <w:szCs w:val="32"/>
        </w:rPr>
      </w:pPr>
      <w:r>
        <w:rPr>
          <w:rFonts w:cs="Times New Roman"/>
          <w:b/>
          <w:color w:val="auto"/>
          <w:szCs w:val="32"/>
        </w:rPr>
        <w:t>第</w:t>
      </w:r>
      <w:r>
        <w:rPr>
          <w:rFonts w:hint="eastAsia" w:cs="Times New Roman"/>
          <w:b/>
          <w:color w:val="auto"/>
          <w:szCs w:val="32"/>
          <w:lang w:val="en-US" w:eastAsia="zh-CN"/>
        </w:rPr>
        <w:t>十</w:t>
      </w:r>
      <w:r>
        <w:rPr>
          <w:rFonts w:cs="Times New Roman"/>
          <w:b/>
          <w:color w:val="auto"/>
          <w:szCs w:val="32"/>
        </w:rPr>
        <w:t>条</w:t>
      </w:r>
      <w:r>
        <w:rPr>
          <w:rFonts w:hint="eastAsia" w:cs="Times New Roman"/>
          <w:b/>
          <w:color w:val="auto"/>
          <w:szCs w:val="32"/>
          <w:lang w:val="en-US" w:eastAsia="zh-CN"/>
        </w:rPr>
        <w:t xml:space="preserve"> </w:t>
      </w:r>
      <w:r>
        <w:rPr>
          <w:rFonts w:cs="Times New Roman"/>
          <w:color w:val="auto"/>
          <w:szCs w:val="32"/>
        </w:rPr>
        <w:t>招标代理项目组由不少于3名专职人员组成，其中设立项目负责人1名，项目组成员办理代理业务时应当实行实名制，对所代理业务承担相应责任。</w:t>
      </w:r>
    </w:p>
    <w:p>
      <w:pPr>
        <w:ind w:firstLine="624" w:firstLineChars="200"/>
        <w:rPr>
          <w:rFonts w:cs="Times New Roman"/>
          <w:color w:val="auto"/>
          <w:szCs w:val="32"/>
        </w:rPr>
      </w:pPr>
      <w:r>
        <w:rPr>
          <w:rFonts w:cs="Times New Roman"/>
          <w:color w:val="auto"/>
          <w:szCs w:val="32"/>
        </w:rPr>
        <w:t>前款所称项目负责人是指经招标代理机构法定代表人授权，担任工程建设项目招标代理工作全过程的管理者。</w:t>
      </w:r>
      <w:r>
        <w:rPr>
          <w:rFonts w:hint="eastAsia" w:cs="Times New Roman"/>
          <w:color w:val="auto"/>
          <w:szCs w:val="32"/>
        </w:rPr>
        <w:t>项目负责人应当是具有工程建设类注册执业资格或工程建设类中级职称以上本单位专职人员。</w:t>
      </w:r>
    </w:p>
    <w:p>
      <w:pPr>
        <w:ind w:firstLine="624" w:firstLineChars="200"/>
        <w:rPr>
          <w:rFonts w:cs="Times New Roman"/>
          <w:color w:val="auto"/>
          <w:szCs w:val="32"/>
        </w:rPr>
      </w:pPr>
      <w:r>
        <w:rPr>
          <w:rFonts w:cs="Times New Roman"/>
          <w:b/>
          <w:color w:val="auto"/>
          <w:szCs w:val="32"/>
        </w:rPr>
        <w:t>第十</w:t>
      </w:r>
      <w:r>
        <w:rPr>
          <w:rFonts w:hint="eastAsia" w:cs="Times New Roman"/>
          <w:b/>
          <w:color w:val="auto"/>
          <w:szCs w:val="32"/>
          <w:lang w:val="en-US" w:eastAsia="zh-CN"/>
        </w:rPr>
        <w:t>一</w:t>
      </w:r>
      <w:r>
        <w:rPr>
          <w:rFonts w:cs="Times New Roman"/>
          <w:b/>
          <w:color w:val="auto"/>
          <w:szCs w:val="32"/>
        </w:rPr>
        <w:t>条</w:t>
      </w:r>
      <w:r>
        <w:rPr>
          <w:rFonts w:hint="eastAsia" w:cs="Times New Roman"/>
          <w:b/>
          <w:color w:val="auto"/>
          <w:szCs w:val="32"/>
        </w:rPr>
        <w:t xml:space="preserve"> </w:t>
      </w:r>
      <w:r>
        <w:rPr>
          <w:rFonts w:cs="Times New Roman"/>
          <w:color w:val="auto"/>
          <w:szCs w:val="32"/>
        </w:rPr>
        <w:t>招标代理项目组应根据所代理项目的特点，制定代理项目的招标方案，编制招标公告、招标文件，组织项目的开标、评标活动，协助招标人和中标单位签订合同，协助处理项目异议和投诉等。</w:t>
      </w:r>
    </w:p>
    <w:p>
      <w:pPr>
        <w:ind w:firstLine="624" w:firstLineChars="200"/>
        <w:rPr>
          <w:rFonts w:cs="Times New Roman"/>
          <w:color w:val="auto"/>
          <w:szCs w:val="32"/>
        </w:rPr>
      </w:pPr>
      <w:r>
        <w:rPr>
          <w:rFonts w:cs="Times New Roman"/>
          <w:color w:val="auto"/>
          <w:szCs w:val="32"/>
        </w:rPr>
        <w:t>项目组在招标代理活动全过程至少须委派1名专职人员到场，其中开评标、项目异议和投诉处理两个业务环节项目负责人必须到场。</w:t>
      </w:r>
    </w:p>
    <w:p>
      <w:pPr>
        <w:ind w:firstLine="624" w:firstLineChars="200"/>
        <w:rPr>
          <w:rFonts w:cs="Times New Roman"/>
          <w:color w:val="auto"/>
          <w:szCs w:val="32"/>
        </w:rPr>
      </w:pPr>
      <w:r>
        <w:rPr>
          <w:rFonts w:cs="Times New Roman"/>
          <w:b/>
          <w:color w:val="auto"/>
          <w:szCs w:val="32"/>
        </w:rPr>
        <w:t>第十</w:t>
      </w:r>
      <w:r>
        <w:rPr>
          <w:rFonts w:hint="eastAsia" w:cs="Times New Roman"/>
          <w:b/>
          <w:color w:val="auto"/>
          <w:szCs w:val="32"/>
          <w:lang w:val="en-US" w:eastAsia="zh-CN"/>
        </w:rPr>
        <w:t>二</w:t>
      </w:r>
      <w:r>
        <w:rPr>
          <w:rFonts w:cs="Times New Roman"/>
          <w:b/>
          <w:color w:val="auto"/>
          <w:szCs w:val="32"/>
        </w:rPr>
        <w:t>条</w:t>
      </w:r>
      <w:r>
        <w:rPr>
          <w:rFonts w:hint="eastAsia" w:cs="Times New Roman"/>
          <w:b/>
          <w:color w:val="auto"/>
          <w:szCs w:val="32"/>
        </w:rPr>
        <w:t xml:space="preserve"> </w:t>
      </w:r>
      <w:r>
        <w:rPr>
          <w:rFonts w:cs="Times New Roman"/>
          <w:color w:val="auto"/>
          <w:szCs w:val="32"/>
        </w:rPr>
        <w:t>招标代理项目组成员需要发生变更的，应当征得招标人同意后，自情形发生之日起3个工作日内通过“监</w:t>
      </w:r>
      <w:r>
        <w:rPr>
          <w:rFonts w:hint="eastAsia" w:cs="Times New Roman"/>
          <w:color w:val="auto"/>
          <w:szCs w:val="32"/>
        </w:rPr>
        <w:t>管</w:t>
      </w:r>
      <w:r>
        <w:rPr>
          <w:rFonts w:cs="Times New Roman"/>
          <w:color w:val="auto"/>
          <w:szCs w:val="32"/>
        </w:rPr>
        <w:t>平台”办理变更手续。</w:t>
      </w:r>
    </w:p>
    <w:p>
      <w:pPr>
        <w:ind w:firstLine="624" w:firstLineChars="200"/>
        <w:rPr>
          <w:rFonts w:cs="Times New Roman"/>
          <w:color w:val="auto"/>
          <w:szCs w:val="32"/>
        </w:rPr>
      </w:pPr>
      <w:r>
        <w:rPr>
          <w:rFonts w:cs="Times New Roman"/>
          <w:color w:val="auto"/>
          <w:szCs w:val="32"/>
        </w:rPr>
        <w:t>变更后的项目组成员应不低于变更前项目组成员的资格条件，所代理项目业绩计入变更后的项目组成员代理业绩。</w:t>
      </w:r>
    </w:p>
    <w:p>
      <w:pPr>
        <w:ind w:firstLine="624" w:firstLineChars="200"/>
        <w:rPr>
          <w:rFonts w:cs="Times New Roman"/>
          <w:color w:val="auto"/>
          <w:szCs w:val="32"/>
        </w:rPr>
      </w:pPr>
      <w:r>
        <w:rPr>
          <w:rFonts w:cs="Times New Roman"/>
          <w:b/>
          <w:color w:val="auto"/>
          <w:szCs w:val="32"/>
        </w:rPr>
        <w:t>第十</w:t>
      </w:r>
      <w:r>
        <w:rPr>
          <w:rFonts w:hint="eastAsia" w:cs="Times New Roman"/>
          <w:b/>
          <w:color w:val="auto"/>
          <w:szCs w:val="32"/>
          <w:lang w:val="en-US" w:eastAsia="zh-CN"/>
        </w:rPr>
        <w:t>三</w:t>
      </w:r>
      <w:r>
        <w:rPr>
          <w:rFonts w:cs="Times New Roman"/>
          <w:b/>
          <w:color w:val="auto"/>
          <w:szCs w:val="32"/>
        </w:rPr>
        <w:t>条</w:t>
      </w:r>
      <w:r>
        <w:rPr>
          <w:rFonts w:hint="eastAsia" w:cs="Times New Roman"/>
          <w:b/>
          <w:color w:val="auto"/>
          <w:szCs w:val="32"/>
        </w:rPr>
        <w:t xml:space="preserve"> </w:t>
      </w:r>
      <w:r>
        <w:rPr>
          <w:rFonts w:cs="Times New Roman"/>
          <w:color w:val="auto"/>
          <w:szCs w:val="32"/>
        </w:rPr>
        <w:t>招标代理机构合并的，合并后存续或者新设立的机构，可以承继合并前各方中较高的规范化考评结果和信用评价结果。</w:t>
      </w:r>
    </w:p>
    <w:p>
      <w:pPr>
        <w:ind w:firstLine="624" w:firstLineChars="200"/>
        <w:rPr>
          <w:rFonts w:cs="Times New Roman"/>
          <w:color w:val="auto"/>
          <w:szCs w:val="32"/>
        </w:rPr>
      </w:pPr>
      <w:r>
        <w:rPr>
          <w:rFonts w:cs="Times New Roman"/>
          <w:color w:val="auto"/>
          <w:szCs w:val="32"/>
        </w:rPr>
        <w:t>招标代理机构分立的，由分立各方协商确定其中一方承继原规范化考评结果和信用评价结果，其他各方按相关规定重新获取规范化考评结果和信用评价结果。</w:t>
      </w:r>
    </w:p>
    <w:p>
      <w:pPr>
        <w:ind w:firstLine="624" w:firstLineChars="200"/>
        <w:rPr>
          <w:rFonts w:cs="Times New Roman"/>
          <w:color w:val="auto"/>
          <w:szCs w:val="32"/>
        </w:rPr>
      </w:pPr>
      <w:r>
        <w:rPr>
          <w:rFonts w:cs="Times New Roman"/>
          <w:b/>
          <w:color w:val="auto"/>
          <w:szCs w:val="32"/>
        </w:rPr>
        <w:t>第十</w:t>
      </w:r>
      <w:r>
        <w:rPr>
          <w:rFonts w:hint="eastAsia" w:cs="Times New Roman"/>
          <w:b/>
          <w:color w:val="auto"/>
          <w:szCs w:val="32"/>
          <w:lang w:val="en-US" w:eastAsia="zh-CN"/>
        </w:rPr>
        <w:t>四</w:t>
      </w:r>
      <w:r>
        <w:rPr>
          <w:rFonts w:cs="Times New Roman"/>
          <w:b/>
          <w:color w:val="auto"/>
          <w:szCs w:val="32"/>
        </w:rPr>
        <w:t>条</w:t>
      </w:r>
      <w:r>
        <w:rPr>
          <w:rFonts w:hint="eastAsia" w:cs="Times New Roman"/>
          <w:b/>
          <w:color w:val="auto"/>
          <w:szCs w:val="32"/>
          <w:lang w:val="en-US" w:eastAsia="zh-CN"/>
        </w:rPr>
        <w:t xml:space="preserve"> </w:t>
      </w:r>
      <w:r>
        <w:rPr>
          <w:rFonts w:cs="Times New Roman"/>
          <w:color w:val="auto"/>
          <w:szCs w:val="32"/>
        </w:rPr>
        <w:t>任何单位和个人如发现招标代理机构报送虚假信息，可向省住房城乡建设主管部门举报，省住房城乡建设主管部门将及时组织核实处理。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default" w:ascii="Times New Roman" w:hAnsi="Times New Roman" w:cs="Times New Roman"/>
          <w:color w:val="auto"/>
          <w:sz w:val="21"/>
          <w:szCs w:val="21"/>
          <w:lang w:val="en-US"/>
        </w:rPr>
      </w:pPr>
      <w:r>
        <w:rPr>
          <w:rFonts w:hint="eastAsia" w:ascii="黑体" w:hAnsi="宋体" w:eastAsia="黑体" w:cs="黑体"/>
          <w:i w:val="0"/>
          <w:iCs w:val="0"/>
          <w:caps w:val="0"/>
          <w:color w:val="auto"/>
          <w:spacing w:val="0"/>
          <w:kern w:val="0"/>
          <w:sz w:val="32"/>
          <w:szCs w:val="32"/>
          <w:shd w:val="clear" w:color="auto" w:fill="FFFFFF"/>
          <w:lang w:val="en-US" w:eastAsia="zh-CN" w:bidi="ar"/>
        </w:rPr>
        <w:t>第三章</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专职人员信息核查</w:t>
      </w:r>
    </w:p>
    <w:p>
      <w:pPr>
        <w:numPr>
          <w:ilvl w:val="0"/>
          <w:numId w:val="0"/>
        </w:numPr>
        <w:ind w:left="0" w:leftChars="0" w:firstLine="618" w:firstLineChars="198"/>
        <w:rPr>
          <w:rFonts w:cs="Times New Roman"/>
          <w:color w:val="auto"/>
        </w:rPr>
      </w:pPr>
      <w:r>
        <w:rPr>
          <w:rFonts w:hint="eastAsia" w:cs="Times New Roman"/>
          <w:b/>
          <w:bCs/>
          <w:color w:val="auto"/>
          <w:lang w:val="en-US" w:eastAsia="zh-CN"/>
        </w:rPr>
        <w:t xml:space="preserve">第十五条 </w:t>
      </w:r>
      <w:r>
        <w:rPr>
          <w:rFonts w:cs="Times New Roman"/>
          <w:color w:val="auto"/>
        </w:rPr>
        <w:t>专职人员信息核查是指</w:t>
      </w:r>
      <w:r>
        <w:rPr>
          <w:rFonts w:hint="eastAsia" w:cs="Times New Roman"/>
          <w:color w:val="auto"/>
          <w:lang w:val="en-US" w:eastAsia="zh-CN"/>
        </w:rPr>
        <w:t>省</w:t>
      </w:r>
      <w:r>
        <w:rPr>
          <w:rFonts w:cs="Times New Roman"/>
          <w:color w:val="auto"/>
        </w:rPr>
        <w:t>住房城乡建设主管部门</w:t>
      </w:r>
      <w:r>
        <w:rPr>
          <w:rFonts w:hint="eastAsia" w:cs="Times New Roman"/>
          <w:color w:val="auto"/>
        </w:rPr>
        <w:t>采用</w:t>
      </w:r>
      <w:r>
        <w:rPr>
          <w:rFonts w:cs="Times New Roman"/>
          <w:color w:val="auto"/>
        </w:rPr>
        <w:t>“双随机</w:t>
      </w:r>
      <w:r>
        <w:rPr>
          <w:rFonts w:hint="eastAsia" w:cs="Times New Roman"/>
          <w:color w:val="auto"/>
        </w:rPr>
        <w:t>、</w:t>
      </w:r>
      <w:r>
        <w:rPr>
          <w:rFonts w:cs="Times New Roman"/>
          <w:color w:val="auto"/>
        </w:rPr>
        <w:t>一公开”的</w:t>
      </w:r>
      <w:r>
        <w:rPr>
          <w:rFonts w:hint="eastAsia" w:cs="Times New Roman"/>
          <w:color w:val="auto"/>
        </w:rPr>
        <w:t>方式</w:t>
      </w:r>
      <w:r>
        <w:rPr>
          <w:rFonts w:hint="eastAsia" w:cs="Times New Roman"/>
          <w:color w:val="auto"/>
          <w:lang w:eastAsia="zh-CN"/>
        </w:rPr>
        <w:t>，</w:t>
      </w:r>
      <w:r>
        <w:rPr>
          <w:rFonts w:hint="eastAsia" w:cs="Times New Roman"/>
          <w:color w:val="auto"/>
          <w:lang w:val="en-US" w:eastAsia="zh-CN"/>
        </w:rPr>
        <w:t>组织开展的房建市政项目</w:t>
      </w:r>
      <w:r>
        <w:rPr>
          <w:rFonts w:cs="Times New Roman"/>
          <w:color w:val="auto"/>
        </w:rPr>
        <w:t>招标代理机构专职人员信息核查</w:t>
      </w:r>
      <w:r>
        <w:rPr>
          <w:rFonts w:hint="eastAsia" w:cs="Times New Roman"/>
          <w:color w:val="auto"/>
          <w:lang w:val="en-US" w:eastAsia="zh-CN"/>
        </w:rPr>
        <w:t>工作</w:t>
      </w:r>
      <w:r>
        <w:rPr>
          <w:rFonts w:cs="Times New Roman"/>
          <w:color w:val="auto"/>
        </w:rPr>
        <w:t>。</w:t>
      </w:r>
    </w:p>
    <w:p>
      <w:pPr>
        <w:ind w:firstLine="618" w:firstLineChars="198"/>
        <w:rPr>
          <w:rFonts w:cs="Times New Roman"/>
          <w:color w:val="auto"/>
          <w:szCs w:val="32"/>
        </w:rPr>
      </w:pPr>
      <w:r>
        <w:rPr>
          <w:rFonts w:cs="Times New Roman"/>
          <w:b/>
          <w:color w:val="auto"/>
          <w:szCs w:val="32"/>
        </w:rPr>
        <w:t xml:space="preserve"> </w:t>
      </w:r>
      <w:r>
        <w:rPr>
          <w:rFonts w:hint="eastAsia" w:cs="Times New Roman"/>
          <w:b/>
          <w:color w:val="auto"/>
          <w:szCs w:val="32"/>
          <w:lang w:val="en-US" w:eastAsia="zh-CN"/>
        </w:rPr>
        <w:t xml:space="preserve">第十六条 </w:t>
      </w:r>
      <w:r>
        <w:rPr>
          <w:rFonts w:cs="Times New Roman"/>
          <w:color w:val="auto"/>
          <w:szCs w:val="32"/>
        </w:rPr>
        <w:t>省住房城乡建设主管部门</w:t>
      </w:r>
      <w:r>
        <w:rPr>
          <w:rFonts w:hint="eastAsia" w:cs="Times New Roman"/>
          <w:color w:val="auto"/>
          <w:szCs w:val="32"/>
          <w:lang w:val="en-US" w:eastAsia="zh-CN"/>
        </w:rPr>
        <w:t>负责</w:t>
      </w:r>
      <w:r>
        <w:rPr>
          <w:rFonts w:cs="Times New Roman"/>
          <w:color w:val="auto"/>
          <w:szCs w:val="32"/>
        </w:rPr>
        <w:t>组织</w:t>
      </w:r>
      <w:r>
        <w:rPr>
          <w:rFonts w:hint="eastAsia" w:cs="Times New Roman"/>
          <w:color w:val="auto"/>
          <w:szCs w:val="32"/>
          <w:lang w:val="en-US" w:eastAsia="zh-CN"/>
        </w:rPr>
        <w:t>开展房建市政项目</w:t>
      </w:r>
      <w:r>
        <w:rPr>
          <w:rFonts w:cs="Times New Roman"/>
          <w:color w:val="auto"/>
          <w:szCs w:val="32"/>
        </w:rPr>
        <w:t>招标代理机构专职人员信息核查工作。</w:t>
      </w:r>
    </w:p>
    <w:p>
      <w:pPr>
        <w:ind w:firstLine="624" w:firstLineChars="200"/>
        <w:rPr>
          <w:rFonts w:cs="Times New Roman"/>
          <w:color w:val="auto"/>
        </w:rPr>
      </w:pPr>
      <w:r>
        <w:rPr>
          <w:rFonts w:hint="eastAsia" w:cs="Times New Roman"/>
          <w:color w:val="auto"/>
        </w:rPr>
        <w:t>按照异地核查原则</w:t>
      </w:r>
      <w:r>
        <w:rPr>
          <w:rFonts w:hint="eastAsia" w:cs="Times New Roman"/>
          <w:color w:val="auto"/>
          <w:lang w:eastAsia="zh-CN"/>
        </w:rPr>
        <w:t>，</w:t>
      </w:r>
      <w:r>
        <w:rPr>
          <w:rFonts w:hint="eastAsia" w:cs="Times New Roman"/>
          <w:color w:val="auto"/>
        </w:rPr>
        <w:t>市州住房城乡建设主管部门负责随机抽取的其它市州招标代理机构专职人员的信息核查工作。</w:t>
      </w:r>
    </w:p>
    <w:p>
      <w:pPr>
        <w:ind w:firstLine="624" w:firstLineChars="200"/>
        <w:rPr>
          <w:rFonts w:hint="default" w:cs="Times New Roman"/>
          <w:color w:val="auto"/>
          <w:lang w:val="en-US" w:eastAsia="zh-CN"/>
        </w:rPr>
      </w:pPr>
      <w:r>
        <w:rPr>
          <w:rFonts w:cs="Times New Roman"/>
          <w:b/>
          <w:color w:val="auto"/>
        </w:rPr>
        <w:t>第</w:t>
      </w:r>
      <w:r>
        <w:rPr>
          <w:rFonts w:hint="eastAsia" w:cs="Times New Roman"/>
          <w:b/>
          <w:color w:val="auto"/>
          <w:lang w:val="en-US" w:eastAsia="zh-CN"/>
        </w:rPr>
        <w:t>十七</w:t>
      </w:r>
      <w:r>
        <w:rPr>
          <w:rFonts w:cs="Times New Roman"/>
          <w:b/>
          <w:color w:val="auto"/>
          <w:spacing w:val="-10"/>
        </w:rPr>
        <w:t>条</w:t>
      </w:r>
      <w:r>
        <w:rPr>
          <w:rFonts w:hint="eastAsia" w:cs="Times New Roman"/>
          <w:b/>
          <w:color w:val="auto"/>
          <w:spacing w:val="-10"/>
          <w:lang w:val="en-US" w:eastAsia="zh-CN"/>
        </w:rPr>
        <w:t xml:space="preserve"> </w:t>
      </w:r>
      <w:r>
        <w:rPr>
          <w:rFonts w:cs="Times New Roman"/>
          <w:color w:val="auto"/>
          <w:spacing w:val="-10"/>
        </w:rPr>
        <w:t xml:space="preserve"> </w:t>
      </w:r>
      <w:r>
        <w:rPr>
          <w:rFonts w:cs="Times New Roman"/>
          <w:color w:val="auto"/>
        </w:rPr>
        <w:t>信息核查专职人员</w:t>
      </w:r>
      <w:r>
        <w:rPr>
          <w:rFonts w:hint="eastAsia" w:cs="Times New Roman"/>
          <w:color w:val="auto"/>
          <w:lang w:val="en-US" w:eastAsia="zh-CN"/>
        </w:rPr>
        <w:t>范围为：近一年，“监管平台”中有房建市政项目招标代理业绩信息的招标代理机构所属的专职人员，其中新增、注销、停用后重新启用的专职人员直接</w:t>
      </w:r>
      <w:r>
        <w:rPr>
          <w:rFonts w:hint="eastAsia" w:cs="Times New Roman"/>
          <w:color w:val="auto"/>
          <w:highlight w:val="none"/>
          <w:lang w:val="en-US" w:eastAsia="zh-CN"/>
        </w:rPr>
        <w:t>列入下一季度</w:t>
      </w:r>
      <w:r>
        <w:rPr>
          <w:rFonts w:hint="eastAsia" w:cs="Times New Roman"/>
          <w:color w:val="auto"/>
          <w:lang w:val="en-US" w:eastAsia="zh-CN"/>
        </w:rPr>
        <w:t>核查范围。</w:t>
      </w:r>
    </w:p>
    <w:p>
      <w:pPr>
        <w:ind w:firstLine="624" w:firstLineChars="200"/>
        <w:rPr>
          <w:rFonts w:cs="Times New Roman"/>
          <w:color w:val="auto"/>
        </w:rPr>
      </w:pPr>
      <w:r>
        <w:rPr>
          <w:rFonts w:hint="eastAsia" w:cs="Times New Roman"/>
          <w:b/>
          <w:bCs/>
          <w:color w:val="auto"/>
          <w:lang w:val="en-US" w:eastAsia="zh-CN"/>
        </w:rPr>
        <w:t xml:space="preserve">第十八条 </w:t>
      </w:r>
      <w:r>
        <w:rPr>
          <w:rFonts w:hint="eastAsia" w:cs="Times New Roman"/>
          <w:color w:val="auto"/>
          <w:lang w:val="en-US" w:eastAsia="zh-CN"/>
        </w:rPr>
        <w:t>核查</w:t>
      </w:r>
      <w:r>
        <w:rPr>
          <w:rFonts w:cs="Times New Roman"/>
          <w:color w:val="auto"/>
        </w:rPr>
        <w:t>内容为招标代理机构</w:t>
      </w:r>
      <w:r>
        <w:rPr>
          <w:rFonts w:cs="Times New Roman"/>
          <w:b w:val="0"/>
          <w:bCs w:val="0"/>
          <w:color w:val="auto"/>
        </w:rPr>
        <w:t>在</w:t>
      </w:r>
      <w:r>
        <w:rPr>
          <w:rFonts w:hint="eastAsia" w:cs="Times New Roman"/>
          <w:b w:val="0"/>
          <w:bCs w:val="0"/>
          <w:color w:val="auto"/>
          <w:lang w:val="en-US" w:eastAsia="zh-CN"/>
        </w:rPr>
        <w:t>监管平台</w:t>
      </w:r>
      <w:r>
        <w:rPr>
          <w:rFonts w:cs="Times New Roman"/>
          <w:b w:val="0"/>
          <w:bCs w:val="0"/>
          <w:color w:val="auto"/>
        </w:rPr>
        <w:t>报</w:t>
      </w:r>
      <w:r>
        <w:rPr>
          <w:rFonts w:cs="Times New Roman"/>
          <w:color w:val="auto"/>
        </w:rPr>
        <w:t>送的专职人员信息，包括劳动合同、社保缴费、职称信息、执业资格信息4项。信息核查须遵循以下标准：</w:t>
      </w:r>
    </w:p>
    <w:p>
      <w:pPr>
        <w:ind w:firstLine="624" w:firstLineChars="200"/>
        <w:rPr>
          <w:rFonts w:cs="Times New Roman"/>
          <w:color w:val="auto"/>
        </w:rPr>
      </w:pPr>
      <w:r>
        <w:rPr>
          <w:rFonts w:cs="Times New Roman"/>
          <w:color w:val="auto"/>
        </w:rPr>
        <w:t>（</w:t>
      </w:r>
      <w:r>
        <w:rPr>
          <w:rFonts w:hint="eastAsia" w:cs="Times New Roman"/>
          <w:color w:val="auto"/>
        </w:rPr>
        <w:t>1</w:t>
      </w:r>
      <w:r>
        <w:rPr>
          <w:rFonts w:cs="Times New Roman"/>
          <w:color w:val="auto"/>
        </w:rPr>
        <w:t>）招标代理机构与专职人员依法签订劳动合同；</w:t>
      </w:r>
    </w:p>
    <w:p>
      <w:pPr>
        <w:ind w:firstLine="624" w:firstLineChars="200"/>
        <w:rPr>
          <w:rFonts w:cs="Times New Roman"/>
          <w:color w:val="auto"/>
        </w:rPr>
      </w:pPr>
      <w:r>
        <w:rPr>
          <w:rFonts w:cs="Times New Roman"/>
          <w:color w:val="auto"/>
        </w:rPr>
        <w:t>（</w:t>
      </w:r>
      <w:r>
        <w:rPr>
          <w:rFonts w:hint="eastAsia" w:cs="Times New Roman"/>
          <w:color w:val="auto"/>
        </w:rPr>
        <w:t>2</w:t>
      </w:r>
      <w:r>
        <w:rPr>
          <w:rFonts w:cs="Times New Roman"/>
          <w:color w:val="auto"/>
        </w:rPr>
        <w:t>）招标代理机构依法为专职人员</w:t>
      </w:r>
      <w:r>
        <w:rPr>
          <w:rFonts w:hint="eastAsia" w:cs="Times New Roman"/>
          <w:color w:val="auto"/>
        </w:rPr>
        <w:t>连续</w:t>
      </w:r>
      <w:r>
        <w:rPr>
          <w:rFonts w:cs="Times New Roman"/>
          <w:color w:val="auto"/>
        </w:rPr>
        <w:t>缴纳社会保险；</w:t>
      </w:r>
    </w:p>
    <w:p>
      <w:pPr>
        <w:ind w:firstLine="624" w:firstLineChars="200"/>
        <w:rPr>
          <w:rFonts w:cs="Times New Roman"/>
          <w:color w:val="auto"/>
        </w:rPr>
      </w:pPr>
      <w:r>
        <w:rPr>
          <w:rFonts w:cs="Times New Roman"/>
          <w:color w:val="auto"/>
        </w:rPr>
        <w:t>（</w:t>
      </w:r>
      <w:r>
        <w:rPr>
          <w:rFonts w:hint="eastAsia" w:cs="Times New Roman"/>
          <w:color w:val="auto"/>
        </w:rPr>
        <w:t>3</w:t>
      </w:r>
      <w:r>
        <w:rPr>
          <w:rFonts w:cs="Times New Roman"/>
          <w:color w:val="auto"/>
        </w:rPr>
        <w:t>）专职人员工程建设类职称</w:t>
      </w:r>
      <w:r>
        <w:rPr>
          <w:rFonts w:hint="eastAsia" w:cs="Times New Roman"/>
          <w:color w:val="auto"/>
        </w:rPr>
        <w:t>证书</w:t>
      </w:r>
      <w:r>
        <w:rPr>
          <w:rFonts w:cs="Times New Roman"/>
          <w:color w:val="auto"/>
        </w:rPr>
        <w:t>真实，能直接网上查询或提供相应的评审（发证机关的证明）文件；</w:t>
      </w:r>
    </w:p>
    <w:p>
      <w:pPr>
        <w:ind w:firstLine="624" w:firstLineChars="200"/>
        <w:rPr>
          <w:rFonts w:cs="Times New Roman"/>
          <w:color w:val="auto"/>
        </w:rPr>
      </w:pPr>
      <w:r>
        <w:rPr>
          <w:rFonts w:cs="Times New Roman"/>
          <w:color w:val="auto"/>
        </w:rPr>
        <w:t>（</w:t>
      </w:r>
      <w:r>
        <w:rPr>
          <w:rFonts w:hint="eastAsia" w:cs="Times New Roman"/>
          <w:color w:val="auto"/>
        </w:rPr>
        <w:t>4</w:t>
      </w:r>
      <w:r>
        <w:rPr>
          <w:rFonts w:cs="Times New Roman"/>
          <w:color w:val="auto"/>
        </w:rPr>
        <w:t>）专职人员工程建设类注册执业资格证书真实，注册单位与申报单位一致。</w:t>
      </w:r>
    </w:p>
    <w:p>
      <w:pPr>
        <w:ind w:firstLine="624" w:firstLineChars="200"/>
        <w:rPr>
          <w:rFonts w:cs="Times New Roman"/>
          <w:color w:val="auto"/>
        </w:rPr>
      </w:pPr>
      <w:r>
        <w:rPr>
          <w:rFonts w:cs="Times New Roman"/>
          <w:b/>
          <w:color w:val="auto"/>
        </w:rPr>
        <w:t>第</w:t>
      </w:r>
      <w:r>
        <w:rPr>
          <w:rFonts w:hint="eastAsia" w:cs="Times New Roman"/>
          <w:b/>
          <w:color w:val="auto"/>
          <w:lang w:val="en-US" w:eastAsia="zh-CN"/>
        </w:rPr>
        <w:t>十九</w:t>
      </w:r>
      <w:r>
        <w:rPr>
          <w:rFonts w:cs="Times New Roman"/>
          <w:b/>
          <w:color w:val="auto"/>
        </w:rPr>
        <w:t xml:space="preserve">条 </w:t>
      </w:r>
      <w:r>
        <w:rPr>
          <w:rFonts w:hint="eastAsia" w:cs="Times New Roman"/>
          <w:color w:val="auto"/>
          <w:spacing w:val="-10"/>
        </w:rPr>
        <w:t>专</w:t>
      </w:r>
      <w:r>
        <w:rPr>
          <w:rFonts w:cs="Times New Roman"/>
          <w:color w:val="auto"/>
          <w:spacing w:val="-10"/>
        </w:rPr>
        <w:t>职人员信息核查工作</w:t>
      </w:r>
      <w:r>
        <w:rPr>
          <w:rFonts w:cs="Times New Roman"/>
          <w:color w:val="auto"/>
        </w:rPr>
        <w:t>每季度组织1次</w:t>
      </w:r>
      <w:r>
        <w:rPr>
          <w:rFonts w:hint="eastAsia" w:cs="Times New Roman"/>
          <w:color w:val="auto"/>
        </w:rPr>
        <w:t>。核查</w:t>
      </w:r>
      <w:r>
        <w:rPr>
          <w:rFonts w:cs="Times New Roman"/>
          <w:color w:val="auto"/>
        </w:rPr>
        <w:t>人员</w:t>
      </w:r>
      <w:r>
        <w:rPr>
          <w:rFonts w:hint="eastAsia" w:cs="Times New Roman"/>
          <w:color w:val="auto"/>
        </w:rPr>
        <w:t>从各市州住房城乡建设主管部门上报省住房建设主管部门的“</w:t>
      </w:r>
      <w:r>
        <w:rPr>
          <w:rFonts w:cs="Times New Roman"/>
          <w:color w:val="auto"/>
        </w:rPr>
        <w:t>核查人员名录库</w:t>
      </w:r>
      <w:r>
        <w:rPr>
          <w:rFonts w:hint="eastAsia" w:cs="Times New Roman"/>
          <w:color w:val="auto"/>
        </w:rPr>
        <w:t>”中随机</w:t>
      </w:r>
      <w:r>
        <w:rPr>
          <w:rFonts w:cs="Times New Roman"/>
          <w:color w:val="auto"/>
        </w:rPr>
        <w:t>抽取</w:t>
      </w:r>
      <w:r>
        <w:rPr>
          <w:rFonts w:hint="eastAsia" w:cs="Times New Roman"/>
          <w:color w:val="auto"/>
        </w:rPr>
        <w:t>确定；</w:t>
      </w:r>
      <w:r>
        <w:rPr>
          <w:rFonts w:cs="Times New Roman"/>
          <w:color w:val="auto"/>
        </w:rPr>
        <w:t>待核查人员按照</w:t>
      </w:r>
      <w:r>
        <w:rPr>
          <w:rFonts w:hint="eastAsia" w:cs="Times New Roman"/>
          <w:color w:val="auto"/>
          <w:lang w:val="en-US" w:eastAsia="zh-CN"/>
        </w:rPr>
        <w:t>核查范围内</w:t>
      </w:r>
      <w:r>
        <w:rPr>
          <w:rFonts w:cs="Times New Roman"/>
          <w:color w:val="auto"/>
        </w:rPr>
        <w:t>招标代理机构报送的专职人员</w:t>
      </w:r>
      <w:r>
        <w:rPr>
          <w:rFonts w:hint="eastAsia" w:cs="Times New Roman"/>
          <w:color w:val="auto"/>
        </w:rPr>
        <w:t>数量</w:t>
      </w:r>
      <w:r>
        <w:rPr>
          <w:rFonts w:cs="Times New Roman"/>
          <w:color w:val="auto"/>
        </w:rPr>
        <w:t>25%的比例</w:t>
      </w:r>
      <w:r>
        <w:rPr>
          <w:rFonts w:hint="eastAsia" w:cs="Times New Roman"/>
          <w:color w:val="auto"/>
        </w:rPr>
        <w:t>随机抽取</w:t>
      </w:r>
      <w:r>
        <w:rPr>
          <w:rFonts w:cs="Times New Roman"/>
          <w:color w:val="auto"/>
        </w:rPr>
        <w:t>确定</w:t>
      </w:r>
      <w:r>
        <w:rPr>
          <w:rFonts w:hint="eastAsia" w:cs="Times New Roman"/>
          <w:color w:val="auto"/>
          <w:szCs w:val="32"/>
        </w:rPr>
        <w:t>。</w:t>
      </w:r>
    </w:p>
    <w:p>
      <w:pPr>
        <w:ind w:firstLine="624" w:firstLineChars="200"/>
        <w:rPr>
          <w:rFonts w:cs="Times New Roman"/>
          <w:color w:val="auto"/>
        </w:rPr>
      </w:pPr>
      <w:r>
        <w:rPr>
          <w:rFonts w:cs="Times New Roman"/>
          <w:color w:val="auto"/>
        </w:rPr>
        <w:t>每季度首月的第1个工作日，省住房城乡建设</w:t>
      </w:r>
      <w:r>
        <w:rPr>
          <w:rFonts w:hint="eastAsia" w:cs="Times New Roman"/>
          <w:color w:val="auto"/>
        </w:rPr>
        <w:t>主管部门通过“监管平台”</w:t>
      </w:r>
      <w:r>
        <w:rPr>
          <w:rFonts w:cs="Times New Roman"/>
          <w:color w:val="auto"/>
        </w:rPr>
        <w:t>随机抽取</w:t>
      </w:r>
      <w:r>
        <w:rPr>
          <w:rFonts w:hint="eastAsia" w:cs="Times New Roman"/>
          <w:color w:val="auto"/>
        </w:rPr>
        <w:t>核查</w:t>
      </w:r>
      <w:r>
        <w:rPr>
          <w:rFonts w:cs="Times New Roman"/>
          <w:color w:val="auto"/>
        </w:rPr>
        <w:t>人员和待核查人员名单</w:t>
      </w:r>
      <w:r>
        <w:rPr>
          <w:rFonts w:hint="eastAsia" w:cs="Times New Roman"/>
          <w:color w:val="auto"/>
        </w:rPr>
        <w:t>发送至各市州，市州住房城乡建设主管部门按照随机抽取</w:t>
      </w:r>
      <w:r>
        <w:rPr>
          <w:rFonts w:hint="eastAsia" w:cs="Times New Roman"/>
          <w:color w:val="auto"/>
          <w:lang w:val="en-US" w:eastAsia="zh-CN"/>
        </w:rPr>
        <w:t>对</w:t>
      </w:r>
      <w:r>
        <w:rPr>
          <w:rFonts w:cs="Times New Roman"/>
          <w:color w:val="auto"/>
        </w:rPr>
        <w:t>待核查人员</w:t>
      </w:r>
      <w:r>
        <w:rPr>
          <w:rFonts w:hint="eastAsia" w:cs="Times New Roman"/>
          <w:color w:val="auto"/>
        </w:rPr>
        <w:t>开展信息核查工作。</w:t>
      </w:r>
    </w:p>
    <w:p>
      <w:pPr>
        <w:ind w:firstLine="624" w:firstLineChars="200"/>
        <w:rPr>
          <w:rFonts w:cs="Times New Roman"/>
          <w:color w:val="auto"/>
        </w:rPr>
      </w:pPr>
      <w:r>
        <w:rPr>
          <w:rFonts w:hint="eastAsia" w:cs="Times New Roman"/>
          <w:b/>
          <w:bCs/>
          <w:color w:val="auto"/>
        </w:rPr>
        <w:t>第</w:t>
      </w:r>
      <w:r>
        <w:rPr>
          <w:rFonts w:hint="eastAsia" w:cs="Times New Roman"/>
          <w:b/>
          <w:bCs/>
          <w:color w:val="auto"/>
          <w:lang w:val="en-US" w:eastAsia="zh-CN"/>
        </w:rPr>
        <w:t>二十</w:t>
      </w:r>
      <w:r>
        <w:rPr>
          <w:rFonts w:hint="eastAsia" w:cs="Times New Roman"/>
          <w:b/>
          <w:bCs/>
          <w:color w:val="auto"/>
        </w:rPr>
        <w:t xml:space="preserve">条 </w:t>
      </w:r>
      <w:r>
        <w:rPr>
          <w:rFonts w:hint="eastAsia" w:cs="Times New Roman"/>
          <w:color w:val="auto"/>
        </w:rPr>
        <w:t xml:space="preserve"> 市州住房城乡建设主管部门应当通过</w:t>
      </w:r>
      <w:r>
        <w:rPr>
          <w:rFonts w:cs="Times New Roman"/>
          <w:color w:val="auto"/>
          <w:szCs w:val="32"/>
        </w:rPr>
        <w:t>“监管平台”</w:t>
      </w:r>
      <w:r>
        <w:rPr>
          <w:rFonts w:hint="eastAsia" w:cs="Times New Roman"/>
          <w:color w:val="auto"/>
          <w:szCs w:val="32"/>
        </w:rPr>
        <w:t>所提供的官方网站或信息报送单位提供的链接网站、附件扫描资料对待核查人员开展信息核查工作，</w:t>
      </w:r>
      <w:r>
        <w:rPr>
          <w:rFonts w:cs="Times New Roman"/>
          <w:color w:val="auto"/>
        </w:rPr>
        <w:t>对于符合专职人员</w:t>
      </w:r>
      <w:r>
        <w:rPr>
          <w:rFonts w:hint="eastAsia" w:cs="Times New Roman"/>
          <w:color w:val="auto"/>
        </w:rPr>
        <w:t>信息核查标准</w:t>
      </w:r>
      <w:r>
        <w:rPr>
          <w:rFonts w:cs="Times New Roman"/>
          <w:color w:val="auto"/>
        </w:rPr>
        <w:t>的，作出“核查通过”的</w:t>
      </w:r>
      <w:r>
        <w:rPr>
          <w:rFonts w:hint="eastAsia" w:cs="Times New Roman"/>
          <w:color w:val="auto"/>
        </w:rPr>
        <w:t>核查意见</w:t>
      </w:r>
      <w:r>
        <w:rPr>
          <w:rFonts w:cs="Times New Roman"/>
          <w:color w:val="auto"/>
        </w:rPr>
        <w:t>；不符合专职人员</w:t>
      </w:r>
      <w:r>
        <w:rPr>
          <w:rFonts w:hint="eastAsia" w:cs="Times New Roman"/>
          <w:color w:val="auto"/>
        </w:rPr>
        <w:t>信息核查标准</w:t>
      </w:r>
      <w:r>
        <w:rPr>
          <w:rFonts w:cs="Times New Roman"/>
          <w:color w:val="auto"/>
        </w:rPr>
        <w:t>的，作出“核查不通过”的</w:t>
      </w:r>
      <w:r>
        <w:rPr>
          <w:rFonts w:hint="eastAsia" w:cs="Times New Roman"/>
          <w:color w:val="auto"/>
        </w:rPr>
        <w:t>核查意见</w:t>
      </w:r>
      <w:r>
        <w:rPr>
          <w:rFonts w:cs="Times New Roman"/>
          <w:color w:val="auto"/>
        </w:rPr>
        <w:t>，并详细列明理由</w:t>
      </w:r>
      <w:r>
        <w:rPr>
          <w:rFonts w:hint="eastAsia" w:cs="Times New Roman"/>
          <w:color w:val="auto"/>
        </w:rPr>
        <w:t>。</w:t>
      </w:r>
    </w:p>
    <w:p>
      <w:pPr>
        <w:ind w:firstLine="618" w:firstLineChars="198"/>
        <w:rPr>
          <w:rFonts w:cs="Times New Roman"/>
          <w:color w:val="auto"/>
        </w:rPr>
      </w:pPr>
      <w:r>
        <w:rPr>
          <w:rFonts w:hint="eastAsia" w:cs="Times New Roman"/>
          <w:color w:val="auto"/>
        </w:rPr>
        <w:t>市州住房城乡建设主管部门应</w:t>
      </w:r>
      <w:r>
        <w:rPr>
          <w:rFonts w:cs="Times New Roman"/>
          <w:color w:val="auto"/>
        </w:rPr>
        <w:t>在</w:t>
      </w:r>
      <w:r>
        <w:rPr>
          <w:rFonts w:hint="eastAsia" w:cs="Times New Roman"/>
          <w:color w:val="auto"/>
        </w:rPr>
        <w:t>20</w:t>
      </w:r>
      <w:r>
        <w:rPr>
          <w:rFonts w:cs="Times New Roman"/>
          <w:color w:val="auto"/>
        </w:rPr>
        <w:t>个工作日内完成</w:t>
      </w:r>
      <w:r>
        <w:rPr>
          <w:rFonts w:hint="eastAsia" w:cs="Times New Roman"/>
          <w:color w:val="auto"/>
        </w:rPr>
        <w:t>信息核查</w:t>
      </w:r>
      <w:r>
        <w:rPr>
          <w:rFonts w:cs="Times New Roman"/>
          <w:color w:val="auto"/>
        </w:rPr>
        <w:t>工作</w:t>
      </w:r>
      <w:r>
        <w:rPr>
          <w:rFonts w:hint="eastAsia" w:cs="Times New Roman"/>
          <w:color w:val="auto"/>
        </w:rPr>
        <w:t>，并</w:t>
      </w:r>
      <w:r>
        <w:rPr>
          <w:rFonts w:cs="Times New Roman"/>
          <w:color w:val="auto"/>
        </w:rPr>
        <w:t>将</w:t>
      </w:r>
      <w:r>
        <w:rPr>
          <w:rFonts w:hint="eastAsia" w:cs="Times New Roman"/>
          <w:color w:val="auto"/>
        </w:rPr>
        <w:t>核查</w:t>
      </w:r>
      <w:r>
        <w:rPr>
          <w:rFonts w:cs="Times New Roman"/>
          <w:color w:val="auto"/>
        </w:rPr>
        <w:t>情况进行公示。</w:t>
      </w:r>
    </w:p>
    <w:p>
      <w:pPr>
        <w:ind w:firstLine="624" w:firstLineChars="200"/>
        <w:rPr>
          <w:rFonts w:cs="Times New Roman"/>
          <w:color w:val="auto"/>
        </w:rPr>
      </w:pPr>
      <w:r>
        <w:rPr>
          <w:rFonts w:cs="Times New Roman"/>
          <w:b/>
          <w:color w:val="auto"/>
        </w:rPr>
        <w:t>第</w:t>
      </w:r>
      <w:r>
        <w:rPr>
          <w:rFonts w:hint="eastAsia" w:cs="Times New Roman"/>
          <w:b/>
          <w:color w:val="auto"/>
          <w:lang w:val="en-US" w:eastAsia="zh-CN"/>
        </w:rPr>
        <w:t>二十一</w:t>
      </w:r>
      <w:r>
        <w:rPr>
          <w:rFonts w:cs="Times New Roman"/>
          <w:b/>
          <w:color w:val="auto"/>
        </w:rPr>
        <w:t>条</w:t>
      </w:r>
      <w:r>
        <w:rPr>
          <w:rFonts w:cs="Times New Roman"/>
          <w:color w:val="auto"/>
        </w:rPr>
        <w:t xml:space="preserve"> 招标代理机构及专职人员对</w:t>
      </w:r>
      <w:r>
        <w:rPr>
          <w:rFonts w:hint="eastAsia" w:cs="Times New Roman"/>
          <w:color w:val="auto"/>
        </w:rPr>
        <w:t>核查意见</w:t>
      </w:r>
      <w:r>
        <w:rPr>
          <w:rFonts w:cs="Times New Roman"/>
          <w:color w:val="auto"/>
        </w:rPr>
        <w:t>无异议的，</w:t>
      </w:r>
      <w:r>
        <w:rPr>
          <w:rFonts w:hint="eastAsia" w:cs="Times New Roman"/>
          <w:color w:val="auto"/>
        </w:rPr>
        <w:t>由省</w:t>
      </w:r>
      <w:r>
        <w:rPr>
          <w:rFonts w:cs="Times New Roman"/>
          <w:color w:val="auto"/>
        </w:rPr>
        <w:t>住房城乡建设</w:t>
      </w:r>
      <w:r>
        <w:rPr>
          <w:rFonts w:hint="eastAsia" w:cs="Times New Roman"/>
          <w:color w:val="auto"/>
        </w:rPr>
        <w:t>主管部门</w:t>
      </w:r>
      <w:r>
        <w:rPr>
          <w:rFonts w:cs="Times New Roman"/>
          <w:color w:val="auto"/>
        </w:rPr>
        <w:t>列入本季度专职人员信息核查通报</w:t>
      </w:r>
      <w:r>
        <w:rPr>
          <w:rFonts w:hint="eastAsia" w:cs="Times New Roman"/>
          <w:color w:val="auto"/>
        </w:rPr>
        <w:t>；</w:t>
      </w:r>
      <w:r>
        <w:rPr>
          <w:rFonts w:cs="Times New Roman"/>
          <w:color w:val="auto"/>
        </w:rPr>
        <w:t>对</w:t>
      </w:r>
      <w:r>
        <w:rPr>
          <w:rFonts w:hint="eastAsia" w:cs="Times New Roman"/>
          <w:color w:val="auto"/>
        </w:rPr>
        <w:t>核查意见</w:t>
      </w:r>
      <w:r>
        <w:rPr>
          <w:rFonts w:cs="Times New Roman"/>
          <w:color w:val="auto"/>
        </w:rPr>
        <w:t>有异议的，</w:t>
      </w:r>
      <w:r>
        <w:rPr>
          <w:rFonts w:cs="Times New Roman"/>
          <w:color w:val="auto"/>
        </w:rPr>
        <w:t>应当在</w:t>
      </w:r>
      <w:r>
        <w:rPr>
          <w:rFonts w:hint="eastAsia" w:cs="Times New Roman"/>
          <w:color w:val="auto"/>
          <w:lang w:val="en-US" w:eastAsia="zh-CN"/>
        </w:rPr>
        <w:t>核查通报发布之日前</w:t>
      </w:r>
      <w:r>
        <w:rPr>
          <w:rFonts w:cs="Times New Roman"/>
          <w:color w:val="auto"/>
        </w:rPr>
        <w:t>，</w:t>
      </w:r>
      <w:r>
        <w:rPr>
          <w:rFonts w:cs="Times New Roman"/>
          <w:color w:val="auto"/>
        </w:rPr>
        <w:t>向</w:t>
      </w:r>
      <w:r>
        <w:rPr>
          <w:rFonts w:hint="eastAsia" w:cs="Times New Roman"/>
          <w:color w:val="auto"/>
        </w:rPr>
        <w:t>省</w:t>
      </w:r>
      <w:r>
        <w:rPr>
          <w:rFonts w:cs="Times New Roman"/>
          <w:color w:val="auto"/>
        </w:rPr>
        <w:t>住房城乡建设</w:t>
      </w:r>
      <w:r>
        <w:rPr>
          <w:rFonts w:hint="eastAsia" w:cs="Times New Roman"/>
          <w:color w:val="auto"/>
        </w:rPr>
        <w:t>主管部门</w:t>
      </w:r>
      <w:r>
        <w:rPr>
          <w:rFonts w:cs="Times New Roman"/>
          <w:color w:val="auto"/>
        </w:rPr>
        <w:t>提出复核申请</w:t>
      </w:r>
      <w:r>
        <w:rPr>
          <w:rFonts w:hint="eastAsia" w:cs="Times New Roman"/>
          <w:color w:val="auto"/>
        </w:rPr>
        <w:t>并提交</w:t>
      </w:r>
      <w:r>
        <w:rPr>
          <w:rFonts w:cs="Times New Roman"/>
          <w:color w:val="auto"/>
        </w:rPr>
        <w:t>相关</w:t>
      </w:r>
      <w:r>
        <w:rPr>
          <w:rFonts w:hint="eastAsia" w:cs="Times New Roman"/>
          <w:color w:val="auto"/>
        </w:rPr>
        <w:t>证明</w:t>
      </w:r>
      <w:r>
        <w:rPr>
          <w:rFonts w:cs="Times New Roman"/>
          <w:color w:val="auto"/>
        </w:rPr>
        <w:t>材料。</w:t>
      </w:r>
    </w:p>
    <w:p>
      <w:pPr>
        <w:ind w:firstLine="624" w:firstLineChars="200"/>
        <w:rPr>
          <w:rFonts w:ascii="黑体" w:eastAsia="黑体" w:cs="Times New Roman"/>
          <w:b/>
          <w:color w:val="auto"/>
        </w:rPr>
      </w:pPr>
      <w:r>
        <w:rPr>
          <w:rFonts w:hint="eastAsia" w:cs="Times New Roman"/>
          <w:b/>
          <w:bCs/>
          <w:color w:val="auto"/>
        </w:rPr>
        <w:t>第</w:t>
      </w:r>
      <w:r>
        <w:rPr>
          <w:rFonts w:hint="eastAsia" w:cs="Times New Roman"/>
          <w:b/>
          <w:bCs/>
          <w:color w:val="auto"/>
          <w:lang w:val="en-US" w:eastAsia="zh-CN"/>
        </w:rPr>
        <w:t>二十二</w:t>
      </w:r>
      <w:r>
        <w:rPr>
          <w:rFonts w:hint="eastAsia" w:cs="Times New Roman"/>
          <w:b/>
          <w:bCs/>
          <w:color w:val="auto"/>
        </w:rPr>
        <w:t>条</w:t>
      </w:r>
      <w:r>
        <w:rPr>
          <w:rFonts w:cs="Times New Roman"/>
          <w:b/>
          <w:bCs/>
          <w:color w:val="auto"/>
        </w:rPr>
        <w:t xml:space="preserve"> </w:t>
      </w:r>
      <w:r>
        <w:rPr>
          <w:rFonts w:cs="Times New Roman"/>
          <w:color w:val="auto"/>
        </w:rPr>
        <w:t>省住房城乡建设</w:t>
      </w:r>
      <w:r>
        <w:rPr>
          <w:rFonts w:hint="eastAsia" w:cs="Times New Roman"/>
          <w:color w:val="auto"/>
        </w:rPr>
        <w:t>主管部门</w:t>
      </w:r>
      <w:r>
        <w:rPr>
          <w:rFonts w:cs="Times New Roman"/>
          <w:color w:val="auto"/>
        </w:rPr>
        <w:t>应在受理复核申请之日起10个工作日内作出复核决定，复核决定列入本季度专职人员信息核查通报。</w:t>
      </w:r>
    </w:p>
    <w:p>
      <w:pPr>
        <w:ind w:firstLine="624" w:firstLineChars="200"/>
        <w:rPr>
          <w:rFonts w:hint="eastAsia"/>
          <w:color w:val="auto"/>
          <w:szCs w:val="32"/>
          <w:lang w:eastAsia="zh-CN"/>
        </w:rPr>
      </w:pPr>
      <w:r>
        <w:rPr>
          <w:rFonts w:cs="Times New Roman"/>
          <w:b/>
          <w:bCs w:val="0"/>
          <w:color w:val="auto"/>
        </w:rPr>
        <w:t>第</w:t>
      </w:r>
      <w:r>
        <w:rPr>
          <w:rFonts w:hint="eastAsia" w:cs="Times New Roman"/>
          <w:b/>
          <w:bCs w:val="0"/>
          <w:color w:val="auto"/>
          <w:lang w:val="en-US" w:eastAsia="zh-CN"/>
        </w:rPr>
        <w:t>二十三</w:t>
      </w:r>
      <w:r>
        <w:rPr>
          <w:rFonts w:cs="Times New Roman"/>
          <w:b/>
          <w:bCs w:val="0"/>
          <w:color w:val="auto"/>
        </w:rPr>
        <w:t xml:space="preserve">条 </w:t>
      </w:r>
      <w:r>
        <w:rPr>
          <w:b/>
          <w:bCs/>
          <w:color w:val="auto"/>
          <w:szCs w:val="32"/>
        </w:rPr>
        <w:t xml:space="preserve"> </w:t>
      </w:r>
      <w:r>
        <w:rPr>
          <w:rFonts w:hint="eastAsia" w:cs="Times New Roman"/>
          <w:b w:val="0"/>
          <w:bCs/>
          <w:color w:val="auto"/>
          <w:lang w:val="en-US" w:eastAsia="zh-CN"/>
        </w:rPr>
        <w:t>专职人员信息核查通报</w:t>
      </w:r>
      <w:r>
        <w:rPr>
          <w:color w:val="auto"/>
          <w:szCs w:val="32"/>
        </w:rPr>
        <w:t>每季度发布一次，</w:t>
      </w:r>
      <w:r>
        <w:rPr>
          <w:rFonts w:hint="eastAsia" w:cs="Times New Roman"/>
          <w:b w:val="0"/>
          <w:bCs/>
          <w:color w:val="auto"/>
          <w:lang w:val="en-US" w:eastAsia="zh-CN"/>
        </w:rPr>
        <w:t>每名“核查不通过”专职人员扣3分，有效期90天，</w:t>
      </w:r>
      <w:r>
        <w:rPr>
          <w:rFonts w:hint="eastAsia" w:cs="Times New Roman"/>
          <w:b w:val="0"/>
          <w:bCs/>
          <w:color w:val="auto"/>
          <w:lang w:val="en-US" w:eastAsia="zh-CN"/>
        </w:rPr>
        <w:t>作为不良信用信息纳入房建市政项目招标代理机构信用评价，</w:t>
      </w:r>
      <w:r>
        <w:rPr>
          <w:color w:val="auto"/>
          <w:szCs w:val="32"/>
        </w:rPr>
        <w:t>自</w:t>
      </w:r>
      <w:r>
        <w:rPr>
          <w:rFonts w:hint="eastAsia"/>
          <w:color w:val="auto"/>
          <w:szCs w:val="32"/>
          <w:lang w:val="en-US" w:eastAsia="zh-CN"/>
        </w:rPr>
        <w:t>当季信用评价结果</w:t>
      </w:r>
      <w:r>
        <w:rPr>
          <w:color w:val="auto"/>
          <w:szCs w:val="32"/>
        </w:rPr>
        <w:t>发布之日生效</w:t>
      </w:r>
      <w:r>
        <w:rPr>
          <w:rFonts w:hint="eastAsia"/>
          <w:color w:val="auto"/>
          <w:szCs w:val="32"/>
          <w:lang w:eastAsia="zh-CN"/>
        </w:rPr>
        <w:t>。</w:t>
      </w:r>
    </w:p>
    <w:p>
      <w:pPr>
        <w:ind w:firstLine="624" w:firstLineChars="200"/>
        <w:rPr>
          <w:rFonts w:hint="default" w:eastAsia="仿宋_GB2312"/>
          <w:color w:val="auto"/>
          <w:szCs w:val="32"/>
          <w:highlight w:val="yellow"/>
          <w:lang w:val="en-US" w:eastAsia="zh-CN"/>
        </w:rPr>
      </w:pPr>
      <w:r>
        <w:rPr>
          <w:rFonts w:hint="eastAsia" w:cs="Times New Roman"/>
          <w:b w:val="0"/>
          <w:bCs/>
          <w:color w:val="auto"/>
          <w:lang w:val="en-US" w:eastAsia="zh-CN"/>
        </w:rPr>
        <w:t>省住房城乡建设主管部门将“核查不通过”的专职人员列入停用范围，</w:t>
      </w:r>
      <w:r>
        <w:rPr>
          <w:rFonts w:hint="eastAsia" w:cs="Times New Roman"/>
          <w:b w:val="0"/>
          <w:bCs/>
          <w:color w:val="auto"/>
          <w:lang w:val="en-US" w:eastAsia="zh-CN"/>
        </w:rPr>
        <w:t>招标代理机构对“核查不通过”人员存在的问题进行整改的，可自行启用。</w:t>
      </w:r>
    </w:p>
    <w:p>
      <w:pPr>
        <w:ind w:firstLine="624" w:firstLineChars="200"/>
        <w:rPr>
          <w:rFonts w:cs="Times New Roman"/>
          <w:color w:val="auto"/>
        </w:rPr>
      </w:pPr>
      <w:r>
        <w:rPr>
          <w:rFonts w:cs="Times New Roman"/>
          <w:b/>
          <w:color w:val="auto"/>
        </w:rPr>
        <w:t>第</w:t>
      </w:r>
      <w:r>
        <w:rPr>
          <w:rFonts w:hint="eastAsia" w:cs="Times New Roman"/>
          <w:b/>
          <w:color w:val="auto"/>
          <w:lang w:val="en-US" w:eastAsia="zh-CN"/>
        </w:rPr>
        <w:t>二</w:t>
      </w:r>
      <w:r>
        <w:rPr>
          <w:rFonts w:hint="eastAsia" w:cs="Times New Roman"/>
          <w:b/>
          <w:color w:val="auto"/>
        </w:rPr>
        <w:t>十</w:t>
      </w:r>
      <w:r>
        <w:rPr>
          <w:rFonts w:hint="eastAsia" w:cs="Times New Roman"/>
          <w:b/>
          <w:color w:val="auto"/>
          <w:lang w:val="en-US" w:eastAsia="zh-CN"/>
        </w:rPr>
        <w:t>四</w:t>
      </w:r>
      <w:r>
        <w:rPr>
          <w:rFonts w:cs="Times New Roman"/>
          <w:b/>
          <w:color w:val="auto"/>
        </w:rPr>
        <w:t>条</w:t>
      </w:r>
      <w:r>
        <w:rPr>
          <w:rFonts w:cs="Times New Roman"/>
          <w:b/>
          <w:color w:val="auto"/>
        </w:rPr>
        <w:t xml:space="preserve">  </w:t>
      </w:r>
      <w:r>
        <w:rPr>
          <w:rFonts w:cs="Times New Roman"/>
          <w:color w:val="auto"/>
        </w:rPr>
        <w:t>专职人员信息核查</w:t>
      </w:r>
      <w:r>
        <w:rPr>
          <w:rFonts w:hint="eastAsia" w:cs="Times New Roman"/>
          <w:color w:val="auto"/>
        </w:rPr>
        <w:t>通报</w:t>
      </w:r>
      <w:r>
        <w:rPr>
          <w:rFonts w:cs="Times New Roman"/>
          <w:color w:val="auto"/>
        </w:rPr>
        <w:t>发布时间为每季度末月2</w:t>
      </w:r>
      <w:r>
        <w:rPr>
          <w:rFonts w:hint="eastAsia" w:cs="Times New Roman"/>
          <w:color w:val="auto"/>
        </w:rPr>
        <w:t>5</w:t>
      </w:r>
      <w:r>
        <w:rPr>
          <w:rFonts w:cs="Times New Roman"/>
          <w:color w:val="auto"/>
        </w:rPr>
        <w:t>日，招标代理机构及专职人员可自行通过“监管平台”查阅和打印。</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default" w:ascii="Times New Roman" w:hAnsi="Times New Roman" w:cs="Times New Roman"/>
          <w:color w:val="auto"/>
          <w:sz w:val="21"/>
          <w:szCs w:val="21"/>
          <w:lang w:val="en-US"/>
        </w:rPr>
      </w:pPr>
      <w:r>
        <w:rPr>
          <w:rFonts w:hint="eastAsia" w:ascii="黑体" w:hAnsi="宋体" w:eastAsia="黑体" w:cs="黑体"/>
          <w:i w:val="0"/>
          <w:iCs w:val="0"/>
          <w:caps w:val="0"/>
          <w:color w:val="auto"/>
          <w:spacing w:val="0"/>
          <w:kern w:val="0"/>
          <w:sz w:val="32"/>
          <w:szCs w:val="32"/>
          <w:shd w:val="clear" w:color="auto" w:fill="FFFFFF"/>
          <w:lang w:val="en-US" w:eastAsia="zh-CN" w:bidi="ar"/>
        </w:rPr>
        <w:t>第四章</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规范化考评</w:t>
      </w:r>
    </w:p>
    <w:p>
      <w:pPr>
        <w:ind w:firstLine="624" w:firstLineChars="200"/>
        <w:rPr>
          <w:color w:val="auto"/>
          <w:szCs w:val="32"/>
        </w:rPr>
      </w:pPr>
      <w:r>
        <w:rPr>
          <w:rFonts w:hint="eastAsia"/>
          <w:b/>
          <w:bCs/>
          <w:color w:val="auto"/>
          <w:szCs w:val="32"/>
          <w:lang w:val="en-US" w:eastAsia="zh-CN"/>
        </w:rPr>
        <w:t>第二十五条</w:t>
      </w:r>
      <w:r>
        <w:rPr>
          <w:rFonts w:hint="eastAsia"/>
          <w:color w:val="auto"/>
          <w:szCs w:val="32"/>
          <w:lang w:val="en-US" w:eastAsia="zh-CN"/>
        </w:rPr>
        <w:t xml:space="preserve"> </w:t>
      </w:r>
      <w:r>
        <w:rPr>
          <w:color w:val="auto"/>
          <w:szCs w:val="32"/>
        </w:rPr>
        <w:t>招标代理规范化考评（简称“规范化考评”）是指县级</w:t>
      </w:r>
      <w:r>
        <w:rPr>
          <w:rFonts w:hint="eastAsia"/>
          <w:color w:val="auto"/>
          <w:szCs w:val="32"/>
        </w:rPr>
        <w:t>及</w:t>
      </w:r>
      <w:r>
        <w:rPr>
          <w:color w:val="auto"/>
          <w:szCs w:val="32"/>
        </w:rPr>
        <w:t>以上住房城乡建设主管部门在</w:t>
      </w:r>
      <w:r>
        <w:rPr>
          <w:rFonts w:hint="eastAsia"/>
          <w:color w:val="auto"/>
          <w:szCs w:val="32"/>
          <w:lang w:val="en-US" w:eastAsia="zh-CN"/>
        </w:rPr>
        <w:t>房建市政</w:t>
      </w:r>
      <w:r>
        <w:rPr>
          <w:color w:val="auto"/>
          <w:szCs w:val="32"/>
        </w:rPr>
        <w:t>项目</w:t>
      </w:r>
      <w:r>
        <w:rPr>
          <w:color w:val="auto"/>
          <w:szCs w:val="32"/>
        </w:rPr>
        <w:t>招投标活动监管过程中，对</w:t>
      </w:r>
      <w:r>
        <w:rPr>
          <w:rFonts w:hint="eastAsia"/>
          <w:color w:val="auto"/>
          <w:szCs w:val="32"/>
          <w:lang w:val="en-US" w:eastAsia="zh-CN"/>
        </w:rPr>
        <w:t>房建市政</w:t>
      </w:r>
      <w:r>
        <w:rPr>
          <w:color w:val="auto"/>
          <w:szCs w:val="32"/>
        </w:rPr>
        <w:t>项目</w:t>
      </w:r>
      <w:r>
        <w:rPr>
          <w:color w:val="auto"/>
          <w:szCs w:val="32"/>
        </w:rPr>
        <w:t>招标代理机构及其专职人员违反法律法规情节轻微，没有造成危害后果，不予行政处罚的行为（简称“不规范行为”）所实施的考核评价。</w:t>
      </w:r>
    </w:p>
    <w:p>
      <w:pPr>
        <w:ind w:left="0" w:leftChars="0" w:firstLine="618" w:firstLineChars="198"/>
        <w:rPr>
          <w:rFonts w:cs="Times New Roman"/>
          <w:color w:val="auto"/>
          <w:szCs w:val="32"/>
        </w:rPr>
      </w:pPr>
      <w:r>
        <w:rPr>
          <w:rFonts w:cs="Times New Roman"/>
          <w:b/>
          <w:color w:val="auto"/>
          <w:szCs w:val="32"/>
        </w:rPr>
        <w:t>第</w:t>
      </w:r>
      <w:r>
        <w:rPr>
          <w:rFonts w:hint="eastAsia" w:cs="Times New Roman"/>
          <w:b/>
          <w:color w:val="auto"/>
          <w:szCs w:val="32"/>
          <w:lang w:val="en-US" w:eastAsia="zh-CN"/>
        </w:rPr>
        <w:t>二十六</w:t>
      </w:r>
      <w:r>
        <w:rPr>
          <w:rFonts w:cs="Times New Roman"/>
          <w:b/>
          <w:color w:val="auto"/>
          <w:szCs w:val="32"/>
        </w:rPr>
        <w:t>条</w:t>
      </w:r>
      <w:r>
        <w:rPr>
          <w:rFonts w:hint="eastAsia" w:cs="Times New Roman"/>
          <w:b/>
          <w:color w:val="auto"/>
          <w:szCs w:val="32"/>
          <w:lang w:val="en-US" w:eastAsia="zh-CN"/>
        </w:rPr>
        <w:t xml:space="preserve"> </w:t>
      </w:r>
      <w:r>
        <w:rPr>
          <w:rFonts w:cs="Times New Roman"/>
          <w:color w:val="auto"/>
          <w:szCs w:val="32"/>
        </w:rPr>
        <w:t>省住房城乡建设主管部门</w:t>
      </w:r>
      <w:r>
        <w:rPr>
          <w:rFonts w:hint="eastAsia" w:cs="Times New Roman"/>
          <w:color w:val="auto"/>
          <w:szCs w:val="32"/>
          <w:lang w:val="en-US" w:eastAsia="zh-CN"/>
        </w:rPr>
        <w:t>负责</w:t>
      </w:r>
      <w:r>
        <w:rPr>
          <w:rFonts w:cs="Times New Roman"/>
          <w:color w:val="auto"/>
          <w:szCs w:val="32"/>
        </w:rPr>
        <w:t>组织开展</w:t>
      </w:r>
      <w:r>
        <w:rPr>
          <w:rFonts w:hint="eastAsia" w:cs="Times New Roman"/>
          <w:color w:val="auto"/>
          <w:szCs w:val="32"/>
          <w:lang w:val="en-US" w:eastAsia="zh-CN"/>
        </w:rPr>
        <w:t>房建市政项目</w:t>
      </w:r>
      <w:r>
        <w:rPr>
          <w:rFonts w:cs="Times New Roman"/>
          <w:color w:val="auto"/>
          <w:szCs w:val="32"/>
        </w:rPr>
        <w:t>招标代理机构</w:t>
      </w:r>
      <w:r>
        <w:rPr>
          <w:rFonts w:hint="eastAsia" w:cs="Times New Roman"/>
          <w:color w:val="auto"/>
          <w:szCs w:val="32"/>
        </w:rPr>
        <w:t>及专职人员</w:t>
      </w:r>
      <w:r>
        <w:rPr>
          <w:rFonts w:hint="eastAsia" w:cs="Times New Roman"/>
          <w:color w:val="auto"/>
          <w:szCs w:val="32"/>
          <w:lang w:val="en-US" w:eastAsia="zh-CN"/>
        </w:rPr>
        <w:t>的</w:t>
      </w:r>
      <w:r>
        <w:rPr>
          <w:rFonts w:cs="Times New Roman"/>
          <w:color w:val="auto"/>
          <w:szCs w:val="32"/>
        </w:rPr>
        <w:t>规范化考评工作。</w:t>
      </w:r>
    </w:p>
    <w:p>
      <w:pPr>
        <w:ind w:firstLine="624" w:firstLineChars="200"/>
        <w:rPr>
          <w:rFonts w:cs="Times New Roman"/>
          <w:color w:val="auto"/>
          <w:szCs w:val="32"/>
        </w:rPr>
      </w:pPr>
      <w:r>
        <w:rPr>
          <w:rFonts w:cs="Times New Roman"/>
          <w:color w:val="auto"/>
          <w:szCs w:val="32"/>
        </w:rPr>
        <w:t>县级</w:t>
      </w:r>
      <w:r>
        <w:rPr>
          <w:rFonts w:hint="eastAsia" w:cs="Times New Roman"/>
          <w:color w:val="auto"/>
          <w:szCs w:val="32"/>
        </w:rPr>
        <w:t>及</w:t>
      </w:r>
      <w:r>
        <w:rPr>
          <w:rFonts w:cs="Times New Roman"/>
          <w:color w:val="auto"/>
          <w:szCs w:val="32"/>
        </w:rPr>
        <w:t>以上住房城乡建设主管部门</w:t>
      </w:r>
      <w:r>
        <w:rPr>
          <w:rFonts w:hint="eastAsia" w:cs="Times New Roman"/>
          <w:color w:val="auto"/>
          <w:szCs w:val="32"/>
          <w:lang w:val="en-US" w:eastAsia="zh-CN"/>
        </w:rPr>
        <w:t>负责</w:t>
      </w:r>
      <w:r>
        <w:rPr>
          <w:rFonts w:cs="Times New Roman"/>
          <w:color w:val="auto"/>
          <w:szCs w:val="32"/>
        </w:rPr>
        <w:t>对本行政区域内</w:t>
      </w:r>
      <w:r>
        <w:rPr>
          <w:rFonts w:hint="eastAsia" w:cs="Times New Roman"/>
          <w:color w:val="auto"/>
          <w:szCs w:val="32"/>
          <w:lang w:val="en-US" w:eastAsia="zh-CN"/>
        </w:rPr>
        <w:t>房建市政项目</w:t>
      </w:r>
      <w:r>
        <w:rPr>
          <w:rFonts w:hint="eastAsia" w:cs="Times New Roman"/>
          <w:color w:val="auto"/>
          <w:szCs w:val="32"/>
          <w:lang w:val="en-US" w:eastAsia="zh-CN"/>
        </w:rPr>
        <w:t>招标代理</w:t>
      </w:r>
      <w:r>
        <w:rPr>
          <w:rFonts w:cs="Times New Roman"/>
          <w:color w:val="auto"/>
          <w:szCs w:val="32"/>
        </w:rPr>
        <w:t>机构及专职人员实施规范化考评。</w:t>
      </w:r>
    </w:p>
    <w:p>
      <w:pPr>
        <w:ind w:firstLine="645"/>
        <w:rPr>
          <w:color w:val="auto"/>
          <w:szCs w:val="32"/>
        </w:rPr>
      </w:pPr>
      <w:r>
        <w:rPr>
          <w:b/>
          <w:color w:val="auto"/>
          <w:szCs w:val="32"/>
        </w:rPr>
        <w:t>第</w:t>
      </w:r>
      <w:r>
        <w:rPr>
          <w:rFonts w:hint="eastAsia"/>
          <w:b/>
          <w:color w:val="auto"/>
          <w:szCs w:val="32"/>
          <w:lang w:val="en-US" w:eastAsia="zh-CN"/>
        </w:rPr>
        <w:t xml:space="preserve">二十七条 </w:t>
      </w:r>
      <w:r>
        <w:rPr>
          <w:color w:val="auto"/>
          <w:szCs w:val="32"/>
        </w:rPr>
        <w:t xml:space="preserve"> 规范化考评工作应坚持客观、公正、公开的原则。</w:t>
      </w:r>
    </w:p>
    <w:p>
      <w:pPr>
        <w:ind w:firstLine="624" w:firstLineChars="200"/>
        <w:rPr>
          <w:color w:val="auto"/>
          <w:szCs w:val="32"/>
        </w:rPr>
      </w:pPr>
      <w:r>
        <w:rPr>
          <w:b/>
          <w:color w:val="auto"/>
          <w:szCs w:val="32"/>
        </w:rPr>
        <w:t>第</w:t>
      </w:r>
      <w:r>
        <w:rPr>
          <w:rFonts w:hint="eastAsia"/>
          <w:b/>
          <w:color w:val="auto"/>
          <w:szCs w:val="32"/>
          <w:lang w:val="en-US" w:eastAsia="zh-CN"/>
        </w:rPr>
        <w:t>二十八</w:t>
      </w:r>
      <w:r>
        <w:rPr>
          <w:b/>
          <w:color w:val="auto"/>
          <w:szCs w:val="32"/>
        </w:rPr>
        <w:t>条</w:t>
      </w:r>
      <w:r>
        <w:rPr>
          <w:color w:val="auto"/>
          <w:szCs w:val="32"/>
        </w:rPr>
        <w:t xml:space="preserve"> 规范化考评贯穿招标代理全过程，共分为五个环节：招标代理合同</w:t>
      </w:r>
      <w:r>
        <w:rPr>
          <w:rFonts w:hint="eastAsia"/>
          <w:color w:val="auto"/>
          <w:szCs w:val="32"/>
        </w:rPr>
        <w:t>监管</w:t>
      </w:r>
      <w:r>
        <w:rPr>
          <w:color w:val="auto"/>
          <w:szCs w:val="32"/>
        </w:rPr>
        <w:t>环节、招标文件</w:t>
      </w:r>
      <w:r>
        <w:rPr>
          <w:rFonts w:hint="eastAsia"/>
          <w:color w:val="auto"/>
          <w:szCs w:val="32"/>
        </w:rPr>
        <w:t>监管</w:t>
      </w:r>
      <w:r>
        <w:rPr>
          <w:color w:val="auto"/>
          <w:szCs w:val="32"/>
        </w:rPr>
        <w:t>环节、开标评标环节、标后</w:t>
      </w:r>
      <w:r>
        <w:rPr>
          <w:rFonts w:hint="eastAsia"/>
          <w:color w:val="auto"/>
          <w:szCs w:val="32"/>
        </w:rPr>
        <w:t>监管</w:t>
      </w:r>
      <w:r>
        <w:rPr>
          <w:color w:val="auto"/>
          <w:szCs w:val="32"/>
        </w:rPr>
        <w:t>环节、异议投诉环节。</w:t>
      </w:r>
    </w:p>
    <w:p>
      <w:pPr>
        <w:ind w:firstLine="624" w:firstLineChars="200"/>
        <w:rPr>
          <w:color w:val="auto"/>
          <w:szCs w:val="32"/>
        </w:rPr>
      </w:pPr>
      <w:r>
        <w:rPr>
          <w:b/>
          <w:color w:val="auto"/>
          <w:szCs w:val="32"/>
        </w:rPr>
        <w:t>第</w:t>
      </w:r>
      <w:r>
        <w:rPr>
          <w:rFonts w:hint="eastAsia"/>
          <w:b/>
          <w:color w:val="auto"/>
          <w:szCs w:val="32"/>
          <w:lang w:val="en-US" w:eastAsia="zh-CN"/>
        </w:rPr>
        <w:t>二十九</w:t>
      </w:r>
      <w:r>
        <w:rPr>
          <w:b/>
          <w:color w:val="auto"/>
          <w:szCs w:val="32"/>
        </w:rPr>
        <w:t xml:space="preserve">条 </w:t>
      </w:r>
      <w:r>
        <w:rPr>
          <w:color w:val="auto"/>
          <w:szCs w:val="32"/>
        </w:rPr>
        <w:t>规范化考评</w:t>
      </w:r>
      <w:r>
        <w:rPr>
          <w:color w:val="auto"/>
          <w:szCs w:val="32"/>
        </w:rPr>
        <w:t>环节、行为代码、不规范行为认定标准、认定依据等详见附件</w:t>
      </w:r>
      <w:r>
        <w:rPr>
          <w:rFonts w:hint="eastAsia"/>
          <w:color w:val="auto"/>
          <w:szCs w:val="32"/>
          <w:lang w:val="en-US" w:eastAsia="zh-CN"/>
        </w:rPr>
        <w:t>1</w:t>
      </w:r>
      <w:r>
        <w:rPr>
          <w:color w:val="auto"/>
          <w:szCs w:val="32"/>
        </w:rPr>
        <w:t>《湖南省房屋建筑和市政基础设施工程建设项目招标代理规范化考评标准》。</w:t>
      </w:r>
    </w:p>
    <w:p>
      <w:pPr>
        <w:ind w:firstLine="624" w:firstLineChars="200"/>
        <w:rPr>
          <w:color w:val="auto"/>
          <w:szCs w:val="32"/>
        </w:rPr>
      </w:pPr>
      <w:r>
        <w:rPr>
          <w:b/>
          <w:color w:val="auto"/>
          <w:szCs w:val="32"/>
        </w:rPr>
        <w:t>第</w:t>
      </w:r>
      <w:r>
        <w:rPr>
          <w:rFonts w:hint="eastAsia"/>
          <w:b/>
          <w:color w:val="auto"/>
          <w:szCs w:val="32"/>
          <w:lang w:val="en-US" w:eastAsia="zh-CN"/>
        </w:rPr>
        <w:t>三十</w:t>
      </w:r>
      <w:r>
        <w:rPr>
          <w:b/>
          <w:color w:val="auto"/>
          <w:szCs w:val="32"/>
        </w:rPr>
        <w:t xml:space="preserve">条 </w:t>
      </w:r>
      <w:r>
        <w:rPr>
          <w:color w:val="auto"/>
          <w:szCs w:val="32"/>
        </w:rPr>
        <w:t>专职人员的不规范行为纳入所代理项目的项目负责人规范化考评记录；项目负责人的规范化考评记录构成该招标代理机构的规范化考评结果。</w:t>
      </w:r>
    </w:p>
    <w:p>
      <w:pPr>
        <w:ind w:firstLine="624" w:firstLineChars="200"/>
        <w:rPr>
          <w:color w:val="auto"/>
          <w:szCs w:val="32"/>
          <w:highlight w:val="yellow"/>
        </w:rPr>
      </w:pPr>
      <w:r>
        <w:rPr>
          <w:b/>
          <w:bCs/>
          <w:color w:val="auto"/>
          <w:szCs w:val="32"/>
        </w:rPr>
        <w:t>第</w:t>
      </w:r>
      <w:r>
        <w:rPr>
          <w:rFonts w:hint="eastAsia"/>
          <w:b/>
          <w:bCs/>
          <w:color w:val="auto"/>
          <w:szCs w:val="32"/>
          <w:lang w:val="en-US" w:eastAsia="zh-CN"/>
        </w:rPr>
        <w:t>三十一</w:t>
      </w:r>
      <w:r>
        <w:rPr>
          <w:b/>
          <w:bCs/>
          <w:color w:val="auto"/>
          <w:szCs w:val="32"/>
        </w:rPr>
        <w:t xml:space="preserve">条 </w:t>
      </w:r>
      <w:r>
        <w:rPr>
          <w:color w:val="auto"/>
          <w:szCs w:val="32"/>
        </w:rPr>
        <w:t>规范化考评结果每季度发布一次，每条不规范行为记录</w:t>
      </w:r>
      <w:r>
        <w:rPr>
          <w:color w:val="auto"/>
          <w:szCs w:val="32"/>
        </w:rPr>
        <w:t>扣</w:t>
      </w:r>
      <w:r>
        <w:rPr>
          <w:rFonts w:hint="eastAsia"/>
          <w:color w:val="auto"/>
          <w:szCs w:val="32"/>
          <w:lang w:val="en-US" w:eastAsia="zh-CN"/>
        </w:rPr>
        <w:t>0.5</w:t>
      </w:r>
      <w:r>
        <w:rPr>
          <w:color w:val="auto"/>
          <w:szCs w:val="32"/>
        </w:rPr>
        <w:t>分</w:t>
      </w:r>
      <w:r>
        <w:rPr>
          <w:rFonts w:hint="eastAsia"/>
          <w:color w:val="auto"/>
          <w:szCs w:val="32"/>
          <w:lang w:eastAsia="zh-CN"/>
        </w:rPr>
        <w:t>，</w:t>
      </w:r>
      <w:r>
        <w:rPr>
          <w:color w:val="auto"/>
          <w:szCs w:val="32"/>
        </w:rPr>
        <w:t>有效期为</w:t>
      </w:r>
      <w:r>
        <w:rPr>
          <w:rFonts w:hint="eastAsia"/>
          <w:color w:val="auto"/>
          <w:szCs w:val="32"/>
          <w:lang w:val="en-US" w:eastAsia="zh-CN"/>
        </w:rPr>
        <w:t>36</w:t>
      </w:r>
      <w:r>
        <w:rPr>
          <w:color w:val="auto"/>
          <w:szCs w:val="32"/>
        </w:rPr>
        <w:t>0</w:t>
      </w:r>
      <w:r>
        <w:rPr>
          <w:color w:val="auto"/>
          <w:szCs w:val="32"/>
        </w:rPr>
        <w:t>天，</w:t>
      </w:r>
      <w:r>
        <w:rPr>
          <w:rFonts w:hint="eastAsia" w:cs="Times New Roman"/>
          <w:b w:val="0"/>
          <w:bCs/>
          <w:color w:val="auto"/>
          <w:lang w:val="en-US" w:eastAsia="zh-CN"/>
        </w:rPr>
        <w:t>作为不良信用信息纳入房建市政项目招标代理机构信用评价，</w:t>
      </w:r>
      <w:r>
        <w:rPr>
          <w:color w:val="auto"/>
          <w:szCs w:val="32"/>
        </w:rPr>
        <w:t>自</w:t>
      </w:r>
      <w:r>
        <w:rPr>
          <w:rFonts w:hint="eastAsia"/>
          <w:color w:val="auto"/>
          <w:szCs w:val="32"/>
          <w:lang w:val="en-US" w:eastAsia="zh-CN"/>
        </w:rPr>
        <w:t>当季信用评价</w:t>
      </w:r>
      <w:r>
        <w:rPr>
          <w:color w:val="auto"/>
          <w:szCs w:val="32"/>
        </w:rPr>
        <w:t>结果发布之日生效。</w:t>
      </w:r>
    </w:p>
    <w:p>
      <w:pPr>
        <w:ind w:firstLine="624" w:firstLineChars="200"/>
        <w:rPr>
          <w:rFonts w:hint="eastAsia"/>
          <w:color w:val="auto"/>
          <w:szCs w:val="32"/>
          <w:lang w:val="en-US" w:eastAsia="zh-CN"/>
        </w:rPr>
      </w:pPr>
      <w:r>
        <w:rPr>
          <w:rFonts w:hint="eastAsia"/>
          <w:b/>
          <w:bCs/>
          <w:color w:val="auto"/>
          <w:szCs w:val="32"/>
          <w:lang w:val="en-US" w:eastAsia="zh-CN"/>
        </w:rPr>
        <w:t xml:space="preserve">第三十二条 </w:t>
      </w:r>
      <w:r>
        <w:rPr>
          <w:rFonts w:hint="eastAsia"/>
          <w:color w:val="auto"/>
          <w:szCs w:val="32"/>
          <w:lang w:val="en-US" w:eastAsia="zh-CN"/>
        </w:rPr>
        <w:t>招标代理项目无不规范行为记录的为招标代理合格项目。考评合格率＝近一年招标代理合格项目宗数/近一年招标代理项目宗数。</w:t>
      </w:r>
    </w:p>
    <w:p>
      <w:pPr>
        <w:ind w:firstLine="624" w:firstLineChars="200"/>
        <w:rPr>
          <w:rFonts w:hint="eastAsia"/>
          <w:color w:val="auto"/>
          <w:szCs w:val="32"/>
          <w:lang w:val="en-US" w:eastAsia="zh-CN"/>
        </w:rPr>
      </w:pPr>
      <w:r>
        <w:rPr>
          <w:rFonts w:hint="eastAsia"/>
          <w:color w:val="auto"/>
          <w:szCs w:val="32"/>
          <w:lang w:val="en-US" w:eastAsia="zh-CN"/>
        </w:rPr>
        <w:t>考评合格率作为基本信用信息纳入房建市政项目招标代理机构及项目负责人信用评价，自当季信用评价结果发布之日生效，有效期90天。</w:t>
      </w:r>
    </w:p>
    <w:p>
      <w:pPr>
        <w:ind w:firstLine="660"/>
        <w:rPr>
          <w:color w:val="auto"/>
          <w:szCs w:val="32"/>
        </w:rPr>
      </w:pPr>
      <w:r>
        <w:rPr>
          <w:b/>
          <w:color w:val="auto"/>
          <w:szCs w:val="32"/>
        </w:rPr>
        <w:t>第</w:t>
      </w:r>
      <w:r>
        <w:rPr>
          <w:rFonts w:hint="eastAsia"/>
          <w:b/>
          <w:color w:val="auto"/>
          <w:szCs w:val="32"/>
          <w:lang w:val="en-US" w:eastAsia="zh-CN"/>
        </w:rPr>
        <w:t>三十三</w:t>
      </w:r>
      <w:r>
        <w:rPr>
          <w:b/>
          <w:color w:val="auto"/>
          <w:szCs w:val="32"/>
        </w:rPr>
        <w:t>条</w:t>
      </w:r>
      <w:r>
        <w:rPr>
          <w:color w:val="auto"/>
          <w:szCs w:val="32"/>
        </w:rPr>
        <w:t xml:space="preserve"> </w:t>
      </w:r>
      <w:r>
        <w:rPr>
          <w:rFonts w:hint="eastAsia"/>
          <w:color w:val="auto"/>
          <w:szCs w:val="32"/>
          <w:lang w:val="en-US" w:eastAsia="zh-CN"/>
        </w:rPr>
        <w:t>对</w:t>
      </w:r>
      <w:r>
        <w:rPr>
          <w:rFonts w:hint="eastAsia"/>
          <w:color w:val="auto"/>
          <w:szCs w:val="32"/>
          <w:lang w:val="en-US" w:eastAsia="zh-CN"/>
        </w:rPr>
        <w:t>房建市政项目</w:t>
      </w:r>
      <w:r>
        <w:rPr>
          <w:color w:val="auto"/>
          <w:szCs w:val="32"/>
        </w:rPr>
        <w:t>招投标活动实施监管的住房城乡建设主管部门（以下简称“规范化考评主体”）负责该项目规范化考评工作。</w:t>
      </w:r>
    </w:p>
    <w:p>
      <w:pPr>
        <w:ind w:firstLine="660"/>
        <w:rPr>
          <w:color w:val="auto"/>
          <w:szCs w:val="32"/>
        </w:rPr>
      </w:pPr>
      <w:r>
        <w:rPr>
          <w:b/>
          <w:color w:val="auto"/>
          <w:szCs w:val="32"/>
        </w:rPr>
        <w:t>第</w:t>
      </w:r>
      <w:r>
        <w:rPr>
          <w:rFonts w:hint="eastAsia"/>
          <w:b/>
          <w:color w:val="auto"/>
          <w:szCs w:val="32"/>
          <w:lang w:val="en-US" w:eastAsia="zh-CN"/>
        </w:rPr>
        <w:t>三十四</w:t>
      </w:r>
      <w:r>
        <w:rPr>
          <w:b/>
          <w:color w:val="auto"/>
          <w:szCs w:val="32"/>
        </w:rPr>
        <w:t>条</w:t>
      </w:r>
      <w:r>
        <w:rPr>
          <w:color w:val="auto"/>
          <w:szCs w:val="32"/>
        </w:rPr>
        <w:t xml:space="preserve"> 规范化考评主体的行政监督人员在</w:t>
      </w:r>
      <w:r>
        <w:rPr>
          <w:rFonts w:hint="eastAsia"/>
          <w:color w:val="auto"/>
          <w:szCs w:val="32"/>
          <w:lang w:val="en-US" w:eastAsia="zh-CN"/>
        </w:rPr>
        <w:t>房建市政</w:t>
      </w:r>
      <w:r>
        <w:rPr>
          <w:color w:val="auto"/>
          <w:szCs w:val="32"/>
        </w:rPr>
        <w:t>项目</w:t>
      </w:r>
      <w:r>
        <w:rPr>
          <w:color w:val="auto"/>
          <w:szCs w:val="32"/>
        </w:rPr>
        <w:t>招投标活动监管环节中，发现招标代理机构及专职人员在招标代理过程中存在不规范行为的，应认真甄别，采集必要的证据，依程序进行记录，</w:t>
      </w:r>
      <w:r>
        <w:rPr>
          <w:rFonts w:hint="eastAsia"/>
          <w:color w:val="auto"/>
          <w:szCs w:val="32"/>
          <w:lang w:val="en-US" w:eastAsia="zh-CN"/>
        </w:rPr>
        <w:t>并于</w:t>
      </w:r>
      <w:r>
        <w:rPr>
          <w:rFonts w:hint="eastAsia"/>
          <w:color w:val="auto"/>
          <w:szCs w:val="32"/>
          <w:lang w:val="en-US" w:eastAsia="zh-CN"/>
        </w:rPr>
        <w:t>中标通知书核发时</w:t>
      </w:r>
      <w:r>
        <w:rPr>
          <w:color w:val="auto"/>
          <w:szCs w:val="32"/>
        </w:rPr>
        <w:t>采集至规范化考评系统，依法对社会公示</w:t>
      </w:r>
      <w:r>
        <w:rPr>
          <w:rFonts w:hint="eastAsia"/>
          <w:color w:val="auto"/>
          <w:szCs w:val="32"/>
          <w:lang w:val="en-US" w:eastAsia="zh-CN"/>
        </w:rPr>
        <w:t>5</w:t>
      </w:r>
      <w:r>
        <w:rPr>
          <w:rFonts w:hint="eastAsia"/>
          <w:color w:val="auto"/>
          <w:szCs w:val="32"/>
        </w:rPr>
        <w:t>个工作日</w:t>
      </w:r>
      <w:r>
        <w:rPr>
          <w:color w:val="auto"/>
          <w:szCs w:val="32"/>
        </w:rPr>
        <w:t>，经公示无异议的，即予以公</w:t>
      </w:r>
      <w:r>
        <w:rPr>
          <w:rFonts w:hint="eastAsia"/>
          <w:color w:val="auto"/>
          <w:szCs w:val="32"/>
          <w:lang w:val="en-US" w:eastAsia="zh-CN"/>
        </w:rPr>
        <w:t>告</w:t>
      </w:r>
      <w:r>
        <w:rPr>
          <w:color w:val="auto"/>
          <w:szCs w:val="32"/>
        </w:rPr>
        <w:t>。</w:t>
      </w:r>
    </w:p>
    <w:p>
      <w:pPr>
        <w:ind w:firstLine="660"/>
        <w:rPr>
          <w:rFonts w:hint="default" w:ascii="Times New Roman" w:hAnsi="Times New Roman" w:cs="Times New Roman"/>
          <w:color w:val="auto"/>
          <w:sz w:val="21"/>
          <w:szCs w:val="21"/>
        </w:rPr>
      </w:pPr>
      <w:r>
        <w:rPr>
          <w:b/>
          <w:color w:val="auto"/>
          <w:szCs w:val="32"/>
        </w:rPr>
        <w:t>第</w:t>
      </w:r>
      <w:r>
        <w:rPr>
          <w:rFonts w:hint="eastAsia"/>
          <w:b/>
          <w:color w:val="auto"/>
          <w:szCs w:val="32"/>
          <w:lang w:val="en-US" w:eastAsia="zh-CN"/>
        </w:rPr>
        <w:t>三十五</w:t>
      </w:r>
      <w:r>
        <w:rPr>
          <w:b/>
          <w:color w:val="auto"/>
          <w:szCs w:val="32"/>
        </w:rPr>
        <w:t>条</w:t>
      </w:r>
      <w:r>
        <w:rPr>
          <w:color w:val="auto"/>
          <w:szCs w:val="32"/>
        </w:rPr>
        <w:t xml:space="preserve"> 招标代理机构及专职人员对公示的不规范行为记录有异议的，应按规定在公示</w:t>
      </w:r>
      <w:r>
        <w:rPr>
          <w:color w:val="auto"/>
          <w:szCs w:val="32"/>
        </w:rPr>
        <w:t>期内</w:t>
      </w:r>
      <w:r>
        <w:rPr>
          <w:color w:val="auto"/>
          <w:szCs w:val="32"/>
        </w:rPr>
        <w:t>向规范化考评主体提出申诉</w:t>
      </w:r>
      <w:r>
        <w:rPr>
          <w:rFonts w:hint="eastAsia"/>
          <w:color w:val="auto"/>
          <w:szCs w:val="32"/>
          <w:lang w:eastAsia="zh-CN"/>
        </w:rPr>
        <w:t>，</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提出申诉时应附有关证据材料。</w:t>
      </w:r>
    </w:p>
    <w:p>
      <w:pPr>
        <w:ind w:firstLine="660"/>
        <w:rPr>
          <w:rFonts w:hint="default" w:eastAsia="仿宋_GB2312"/>
          <w:color w:val="auto"/>
          <w:szCs w:val="32"/>
          <w:lang w:val="en-US" w:eastAsia="zh-CN"/>
        </w:rPr>
      </w:pPr>
      <w:r>
        <w:rPr>
          <w:rFonts w:hint="eastAsia"/>
          <w:color w:val="auto"/>
          <w:szCs w:val="32"/>
          <w:lang w:val="en-US" w:eastAsia="zh-CN"/>
        </w:rPr>
        <w:t>规范化考评主体</w:t>
      </w:r>
      <w:r>
        <w:rPr>
          <w:color w:val="auto"/>
          <w:szCs w:val="32"/>
        </w:rPr>
        <w:t>应在收到申诉的20个工作日内进行核实并作出处理意见，同时予以公开</w:t>
      </w:r>
      <w:r>
        <w:rPr>
          <w:rFonts w:hint="eastAsia"/>
          <w:color w:val="auto"/>
          <w:szCs w:val="32"/>
          <w:lang w:eastAsia="zh-CN"/>
        </w:rPr>
        <w:t>；</w:t>
      </w:r>
      <w:r>
        <w:rPr>
          <w:rFonts w:hint="eastAsia"/>
          <w:color w:val="auto"/>
          <w:szCs w:val="32"/>
          <w:lang w:val="en-US" w:eastAsia="zh-CN"/>
        </w:rPr>
        <w:t>申诉处理期内，未能及时处理的申诉意见，</w:t>
      </w:r>
      <w:r>
        <w:rPr>
          <w:rFonts w:hint="eastAsia"/>
          <w:color w:val="auto"/>
          <w:szCs w:val="32"/>
          <w:highlight w:val="none"/>
          <w:lang w:val="en-US" w:eastAsia="zh-CN"/>
        </w:rPr>
        <w:t>视为同意申诉意见。</w:t>
      </w:r>
    </w:p>
    <w:p>
      <w:pPr>
        <w:numPr>
          <w:ilvl w:val="0"/>
          <w:numId w:val="0"/>
        </w:numPr>
        <w:ind w:left="0" w:leftChars="0" w:firstLine="618" w:firstLineChars="198"/>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pPr>
      <w:r>
        <w:rPr>
          <w:rFonts w:hint="eastAsia"/>
          <w:b/>
          <w:bCs/>
          <w:color w:val="auto"/>
          <w:szCs w:val="32"/>
          <w:lang w:val="en-US" w:eastAsia="zh-CN"/>
        </w:rPr>
        <w:t xml:space="preserve">第三十六条 </w:t>
      </w:r>
      <w:r>
        <w:rPr>
          <w:color w:val="auto"/>
          <w:szCs w:val="32"/>
        </w:rPr>
        <w:t>申诉人对申诉处理意见不服的，可在收到申诉处理意见之日起5个工作日内向申诉处理部门的上一级住房城乡建设主管部门提请复核，</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提</w:t>
      </w:r>
      <w:r>
        <w:rPr>
          <w:rFonts w:hint="eastAsia" w:ascii="仿宋_GB2312" w:cs="仿宋_GB2312"/>
          <w:i w:val="0"/>
          <w:iCs w:val="0"/>
          <w:caps w:val="0"/>
          <w:color w:val="auto"/>
          <w:spacing w:val="0"/>
          <w:kern w:val="0"/>
          <w:sz w:val="32"/>
          <w:szCs w:val="32"/>
          <w:shd w:val="clear" w:color="auto" w:fill="FFFFFF"/>
          <w:lang w:val="en-US" w:eastAsia="zh-CN" w:bidi="ar"/>
        </w:rPr>
        <w:t>请复核</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时应附有关证据材料。</w:t>
      </w:r>
    </w:p>
    <w:p>
      <w:pPr>
        <w:numPr>
          <w:ilvl w:val="0"/>
          <w:numId w:val="0"/>
        </w:numPr>
        <w:ind w:left="15" w:leftChars="5" w:firstLine="599" w:firstLineChars="192"/>
        <w:rPr>
          <w:rFonts w:hint="default" w:eastAsia="仿宋_GB2312"/>
          <w:color w:val="auto"/>
          <w:szCs w:val="32"/>
          <w:lang w:val="en-US" w:eastAsia="zh-CN"/>
        </w:rPr>
      </w:pPr>
      <w:r>
        <w:rPr>
          <w:color w:val="auto"/>
          <w:szCs w:val="32"/>
        </w:rPr>
        <w:t>复核机关应当在收到复核申请的20个工作日内</w:t>
      </w:r>
      <w:r>
        <w:rPr>
          <w:rFonts w:hint="eastAsia"/>
          <w:color w:val="auto"/>
          <w:szCs w:val="32"/>
          <w:lang w:val="en-US" w:eastAsia="zh-CN"/>
        </w:rPr>
        <w:t>进行复核并作</w:t>
      </w:r>
      <w:r>
        <w:rPr>
          <w:color w:val="auto"/>
          <w:szCs w:val="32"/>
        </w:rPr>
        <w:t>出复核决定</w:t>
      </w:r>
      <w:r>
        <w:rPr>
          <w:rFonts w:hint="eastAsia"/>
          <w:color w:val="auto"/>
          <w:szCs w:val="32"/>
          <w:lang w:eastAsia="zh-CN"/>
        </w:rPr>
        <w:t>，</w:t>
      </w:r>
      <w:r>
        <w:rPr>
          <w:rFonts w:hint="eastAsia"/>
          <w:color w:val="auto"/>
          <w:szCs w:val="32"/>
          <w:lang w:val="en-US" w:eastAsia="zh-CN"/>
        </w:rPr>
        <w:t>同时予以公开；复核处理期内，未能及时处理的复核申请，视为同意复核申请</w:t>
      </w:r>
      <w:r>
        <w:rPr>
          <w:rFonts w:hint="eastAsia"/>
          <w:color w:val="auto"/>
          <w:szCs w:val="32"/>
          <w:highlight w:val="none"/>
          <w:lang w:val="en-US" w:eastAsia="zh-CN"/>
        </w:rPr>
        <w:t>。</w:t>
      </w:r>
    </w:p>
    <w:p>
      <w:pPr>
        <w:numPr>
          <w:ilvl w:val="0"/>
          <w:numId w:val="0"/>
        </w:numPr>
        <w:ind w:left="15" w:leftChars="5" w:firstLine="599" w:firstLineChars="192"/>
        <w:rPr>
          <w:color w:val="auto"/>
          <w:szCs w:val="32"/>
        </w:rPr>
      </w:pPr>
      <w:r>
        <w:rPr>
          <w:color w:val="auto"/>
          <w:szCs w:val="32"/>
        </w:rPr>
        <w:t>复核期间原不规范行为记录有效。</w:t>
      </w:r>
    </w:p>
    <w:p>
      <w:pPr>
        <w:numPr>
          <w:ilvl w:val="0"/>
          <w:numId w:val="0"/>
        </w:numPr>
        <w:ind w:left="15" w:leftChars="5" w:firstLine="599" w:firstLineChars="192"/>
        <w:rPr>
          <w:rFonts w:hint="eastAsia"/>
          <w:b w:val="0"/>
          <w:bCs w:val="0"/>
          <w:color w:val="auto"/>
          <w:szCs w:val="32"/>
          <w:lang w:val="en-US" w:eastAsia="zh-CN"/>
        </w:rPr>
      </w:pPr>
      <w:r>
        <w:rPr>
          <w:rFonts w:hint="eastAsia"/>
          <w:b/>
          <w:bCs/>
          <w:color w:val="auto"/>
          <w:szCs w:val="32"/>
          <w:lang w:val="en-US" w:eastAsia="zh-CN"/>
        </w:rPr>
        <w:t xml:space="preserve">第三十七条 </w:t>
      </w:r>
      <w:r>
        <w:rPr>
          <w:b w:val="0"/>
          <w:bCs w:val="0"/>
          <w:color w:val="auto"/>
          <w:szCs w:val="32"/>
        </w:rPr>
        <w:t>规范化考评主体</w:t>
      </w:r>
      <w:r>
        <w:rPr>
          <w:rFonts w:hint="eastAsia"/>
          <w:b w:val="0"/>
          <w:bCs w:val="0"/>
          <w:color w:val="auto"/>
          <w:szCs w:val="32"/>
          <w:lang w:val="en-US" w:eastAsia="zh-CN"/>
        </w:rPr>
        <w:t>在本级房建市政项目投诉处理、招标文件抽查、标后稽查，或纪检、监察、审计等部门移交问题线索调查处理过程中，发现招标代理机构及其项目负责人存在不规范行为的，应当即时</w:t>
      </w:r>
      <w:r>
        <w:rPr>
          <w:rFonts w:hint="eastAsia"/>
          <w:b w:val="0"/>
          <w:bCs w:val="0"/>
          <w:color w:val="auto"/>
          <w:szCs w:val="32"/>
          <w:highlight w:val="none"/>
          <w:lang w:val="en-US" w:eastAsia="zh-CN"/>
        </w:rPr>
        <w:t>补录</w:t>
      </w:r>
      <w:r>
        <w:rPr>
          <w:rFonts w:hint="eastAsia"/>
          <w:b w:val="0"/>
          <w:bCs w:val="0"/>
          <w:color w:val="auto"/>
          <w:szCs w:val="32"/>
          <w:lang w:val="en-US" w:eastAsia="zh-CN"/>
        </w:rPr>
        <w:t>不规范行为记录。</w:t>
      </w:r>
    </w:p>
    <w:p>
      <w:pPr>
        <w:ind w:firstLine="624" w:firstLineChars="200"/>
        <w:rPr>
          <w:color w:val="auto"/>
          <w:szCs w:val="32"/>
        </w:rPr>
      </w:pPr>
      <w:r>
        <w:rPr>
          <w:b/>
          <w:color w:val="auto"/>
          <w:szCs w:val="32"/>
        </w:rPr>
        <w:t>第</w:t>
      </w:r>
      <w:r>
        <w:rPr>
          <w:rFonts w:hint="eastAsia"/>
          <w:b/>
          <w:color w:val="auto"/>
          <w:szCs w:val="32"/>
          <w:lang w:val="en-US" w:eastAsia="zh-CN"/>
        </w:rPr>
        <w:t>三</w:t>
      </w:r>
      <w:r>
        <w:rPr>
          <w:b/>
          <w:color w:val="auto"/>
          <w:szCs w:val="32"/>
        </w:rPr>
        <w:t>十</w:t>
      </w:r>
      <w:r>
        <w:rPr>
          <w:rFonts w:hint="eastAsia"/>
          <w:b/>
          <w:color w:val="auto"/>
          <w:szCs w:val="32"/>
          <w:lang w:val="en-US" w:eastAsia="zh-CN"/>
        </w:rPr>
        <w:t>八</w:t>
      </w:r>
      <w:r>
        <w:rPr>
          <w:b/>
          <w:color w:val="auto"/>
          <w:szCs w:val="32"/>
        </w:rPr>
        <w:t>条</w:t>
      </w:r>
      <w:r>
        <w:rPr>
          <w:bCs/>
          <w:color w:val="auto"/>
          <w:szCs w:val="32"/>
        </w:rPr>
        <w:t xml:space="preserve"> </w:t>
      </w:r>
      <w:r>
        <w:rPr>
          <w:color w:val="auto"/>
          <w:szCs w:val="32"/>
        </w:rPr>
        <w:t>不规范行为记录有效期内，项目负责人变更单位的，项目负责人在原招标代理机构发生的不规范行为记录对其个人继续有效，并保留在原招标代理机构直至失效。</w:t>
      </w:r>
    </w:p>
    <w:p>
      <w:pPr>
        <w:numPr>
          <w:ilvl w:val="0"/>
          <w:numId w:val="0"/>
        </w:numPr>
        <w:ind w:left="0" w:leftChars="0" w:firstLine="618" w:firstLineChars="198"/>
        <w:rPr>
          <w:color w:val="auto"/>
          <w:szCs w:val="32"/>
        </w:rPr>
      </w:pPr>
      <w:r>
        <w:rPr>
          <w:rFonts w:hint="eastAsia"/>
          <w:b/>
          <w:bCs/>
          <w:color w:val="auto"/>
          <w:szCs w:val="32"/>
          <w:lang w:val="en-US" w:eastAsia="zh-CN"/>
        </w:rPr>
        <w:t>第三十九条</w:t>
      </w:r>
      <w:r>
        <w:rPr>
          <w:rFonts w:hint="eastAsia"/>
          <w:color w:val="auto"/>
          <w:szCs w:val="32"/>
          <w:lang w:val="en-US" w:eastAsia="zh-CN"/>
        </w:rPr>
        <w:t xml:space="preserve"> </w:t>
      </w:r>
      <w:r>
        <w:rPr>
          <w:color w:val="auto"/>
          <w:szCs w:val="32"/>
        </w:rPr>
        <w:t>规范化考评结果发布时间为每季度末月25日，招标代理机构及其项目负责人可自行通过</w:t>
      </w:r>
      <w:r>
        <w:rPr>
          <w:color w:val="auto"/>
          <w:szCs w:val="32"/>
        </w:rPr>
        <w:t>“监管平台”</w:t>
      </w:r>
      <w:r>
        <w:rPr>
          <w:color w:val="auto"/>
          <w:szCs w:val="32"/>
        </w:rPr>
        <w:t xml:space="preserve">查阅和打印。 </w:t>
      </w:r>
    </w:p>
    <w:p>
      <w:pPr>
        <w:numPr>
          <w:ilvl w:val="0"/>
          <w:numId w:val="0"/>
        </w:numPr>
        <w:ind w:left="0" w:leftChars="0" w:firstLine="618" w:firstLineChars="198"/>
        <w:rPr>
          <w:rFonts w:hint="eastAsia"/>
          <w:color w:val="auto"/>
          <w:szCs w:val="32"/>
          <w:lang w:val="en-US" w:eastAsia="zh-CN"/>
        </w:rPr>
      </w:pPr>
      <w:r>
        <w:rPr>
          <w:rFonts w:hint="eastAsia"/>
          <w:b/>
          <w:bCs/>
          <w:color w:val="auto"/>
          <w:szCs w:val="32"/>
          <w:lang w:val="en-US" w:eastAsia="zh-CN"/>
        </w:rPr>
        <w:t>第四十条</w:t>
      </w:r>
      <w:r>
        <w:rPr>
          <w:rFonts w:hint="eastAsia"/>
          <w:color w:val="auto"/>
          <w:szCs w:val="32"/>
          <w:lang w:val="en-US" w:eastAsia="zh-CN"/>
        </w:rPr>
        <w:t xml:space="preserve"> 省住房城乡建设主管部门每季度通报各市州、县市区住房城乡建设主管部门规范化考评制度执行情况。</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default" w:ascii="Times New Roman" w:hAnsi="Times New Roman" w:cs="Times New Roman"/>
          <w:color w:val="auto"/>
          <w:sz w:val="21"/>
          <w:szCs w:val="21"/>
          <w:lang w:val="en-US"/>
        </w:rPr>
      </w:pPr>
      <w:r>
        <w:rPr>
          <w:rFonts w:hint="eastAsia" w:ascii="黑体" w:hAnsi="宋体" w:eastAsia="黑体" w:cs="黑体"/>
          <w:i w:val="0"/>
          <w:iCs w:val="0"/>
          <w:caps w:val="0"/>
          <w:color w:val="auto"/>
          <w:spacing w:val="0"/>
          <w:kern w:val="0"/>
          <w:sz w:val="32"/>
          <w:szCs w:val="32"/>
          <w:shd w:val="clear" w:color="auto" w:fill="FFFFFF"/>
          <w:lang w:val="en-US" w:eastAsia="zh-CN" w:bidi="ar"/>
        </w:rPr>
        <w:t>第五章</w:t>
      </w:r>
      <w:r>
        <w:rPr>
          <w:rFonts w:hint="default" w:ascii="黑体" w:hAnsi="宋体" w:eastAsia="黑体" w:cs="黑体"/>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信用评价</w:t>
      </w:r>
    </w:p>
    <w:p>
      <w:pPr>
        <w:ind w:firstLine="624" w:firstLineChars="200"/>
        <w:rPr>
          <w:color w:val="auto"/>
          <w:kern w:val="0"/>
          <w:szCs w:val="32"/>
          <w:lang w:val="zh-CN"/>
        </w:rPr>
      </w:pPr>
      <w:r>
        <w:rPr>
          <w:rFonts w:hint="eastAsia"/>
          <w:b/>
          <w:bCs/>
          <w:color w:val="auto"/>
          <w:kern w:val="0"/>
          <w:szCs w:val="32"/>
          <w:lang w:val="en-US" w:eastAsia="zh-CN"/>
        </w:rPr>
        <w:t>第四十一条</w:t>
      </w:r>
      <w:r>
        <w:rPr>
          <w:rFonts w:hint="eastAsia"/>
          <w:color w:val="auto"/>
          <w:kern w:val="0"/>
          <w:szCs w:val="32"/>
          <w:lang w:val="en-US" w:eastAsia="zh-CN"/>
        </w:rPr>
        <w:t xml:space="preserve"> 房建市政项目</w:t>
      </w:r>
      <w:r>
        <w:rPr>
          <w:color w:val="auto"/>
          <w:kern w:val="0"/>
          <w:szCs w:val="32"/>
          <w:lang w:val="zh-CN"/>
        </w:rPr>
        <w:t>招标代理机构及其项目负责人信用评价（以下简称“信用评价”）是</w:t>
      </w:r>
      <w:r>
        <w:rPr>
          <w:rFonts w:hint="eastAsia"/>
          <w:color w:val="auto"/>
          <w:kern w:val="0"/>
          <w:szCs w:val="32"/>
          <w:lang w:val="zh-CN" w:eastAsia="zh-CN"/>
        </w:rPr>
        <w:t>指省</w:t>
      </w:r>
      <w:r>
        <w:rPr>
          <w:color w:val="auto"/>
          <w:kern w:val="0"/>
          <w:szCs w:val="32"/>
          <w:lang w:val="zh-CN"/>
        </w:rPr>
        <w:t>住房和城乡建设主管部门依据</w:t>
      </w:r>
      <w:r>
        <w:rPr>
          <w:rFonts w:hint="eastAsia"/>
          <w:color w:val="auto"/>
          <w:kern w:val="0"/>
          <w:szCs w:val="32"/>
          <w:lang w:val="zh-CN"/>
        </w:rPr>
        <w:t>本信用</w:t>
      </w:r>
      <w:r>
        <w:rPr>
          <w:color w:val="auto"/>
          <w:kern w:val="0"/>
          <w:szCs w:val="32"/>
          <w:lang w:val="zh-CN"/>
        </w:rPr>
        <w:t>评价标准，对本省行政区域内招标代理机构及其项目负责人从事</w:t>
      </w:r>
      <w:r>
        <w:rPr>
          <w:rFonts w:hint="eastAsia"/>
          <w:color w:val="auto"/>
          <w:kern w:val="0"/>
          <w:szCs w:val="32"/>
          <w:lang w:val="en-US" w:eastAsia="zh-CN"/>
        </w:rPr>
        <w:t>房建市政</w:t>
      </w:r>
      <w:r>
        <w:rPr>
          <w:color w:val="auto"/>
          <w:kern w:val="0"/>
          <w:szCs w:val="32"/>
          <w:lang w:val="zh-CN"/>
        </w:rPr>
        <w:t>项目</w:t>
      </w:r>
      <w:r>
        <w:rPr>
          <w:color w:val="auto"/>
          <w:kern w:val="0"/>
          <w:szCs w:val="32"/>
          <w:lang w:val="zh-CN"/>
        </w:rPr>
        <w:t>招标代理活动</w:t>
      </w:r>
      <w:r>
        <w:rPr>
          <w:rFonts w:hint="eastAsia"/>
          <w:color w:val="auto"/>
          <w:kern w:val="0"/>
          <w:szCs w:val="32"/>
          <w:lang w:val="zh-CN"/>
        </w:rPr>
        <w:t>的</w:t>
      </w:r>
      <w:r>
        <w:rPr>
          <w:color w:val="auto"/>
          <w:kern w:val="0"/>
          <w:szCs w:val="32"/>
          <w:lang w:val="zh-CN"/>
        </w:rPr>
        <w:t>中产生的基本信息、优良信用信息、不良信用信息</w:t>
      </w:r>
      <w:r>
        <w:rPr>
          <w:rFonts w:hint="eastAsia"/>
          <w:color w:val="auto"/>
          <w:kern w:val="0"/>
          <w:szCs w:val="32"/>
          <w:lang w:val="zh-CN"/>
        </w:rPr>
        <w:t>进行</w:t>
      </w:r>
      <w:r>
        <w:rPr>
          <w:color w:val="auto"/>
          <w:kern w:val="0"/>
          <w:szCs w:val="32"/>
          <w:lang w:val="zh-CN"/>
        </w:rPr>
        <w:t>的量化评价。</w:t>
      </w:r>
    </w:p>
    <w:p>
      <w:pPr>
        <w:ind w:firstLine="624" w:firstLineChars="200"/>
        <w:rPr>
          <w:rFonts w:cs="Times New Roman"/>
          <w:color w:val="auto"/>
          <w:szCs w:val="32"/>
        </w:rPr>
      </w:pPr>
      <w:r>
        <w:rPr>
          <w:rFonts w:cs="Times New Roman"/>
          <w:b/>
          <w:color w:val="auto"/>
          <w:szCs w:val="32"/>
        </w:rPr>
        <w:t>第</w:t>
      </w:r>
      <w:r>
        <w:rPr>
          <w:rFonts w:hint="eastAsia" w:cs="Times New Roman"/>
          <w:b/>
          <w:color w:val="auto"/>
          <w:szCs w:val="32"/>
          <w:lang w:val="en-US" w:eastAsia="zh-CN"/>
        </w:rPr>
        <w:t>四</w:t>
      </w:r>
      <w:r>
        <w:rPr>
          <w:rFonts w:cs="Times New Roman"/>
          <w:b/>
          <w:color w:val="auto"/>
          <w:szCs w:val="32"/>
        </w:rPr>
        <w:t>十</w:t>
      </w:r>
      <w:r>
        <w:rPr>
          <w:rFonts w:hint="eastAsia" w:cs="Times New Roman"/>
          <w:b/>
          <w:color w:val="auto"/>
          <w:szCs w:val="32"/>
          <w:lang w:val="en-US" w:eastAsia="zh-CN"/>
        </w:rPr>
        <w:t>二</w:t>
      </w:r>
      <w:r>
        <w:rPr>
          <w:rFonts w:cs="Times New Roman"/>
          <w:b/>
          <w:color w:val="auto"/>
          <w:szCs w:val="32"/>
        </w:rPr>
        <w:t>条</w:t>
      </w:r>
      <w:r>
        <w:rPr>
          <w:rFonts w:hint="eastAsia" w:cs="Times New Roman"/>
          <w:b/>
          <w:color w:val="auto"/>
          <w:szCs w:val="32"/>
        </w:rPr>
        <w:t xml:space="preserve"> </w:t>
      </w:r>
      <w:r>
        <w:rPr>
          <w:rFonts w:cs="Times New Roman"/>
          <w:color w:val="auto"/>
          <w:szCs w:val="32"/>
        </w:rPr>
        <w:t>省住房城乡建设主管部门负责组织开展</w:t>
      </w:r>
      <w:r>
        <w:rPr>
          <w:rFonts w:hint="eastAsia" w:cs="Times New Roman"/>
          <w:color w:val="auto"/>
          <w:szCs w:val="32"/>
          <w:lang w:val="en-US" w:eastAsia="zh-CN"/>
        </w:rPr>
        <w:t>房建市政项目</w:t>
      </w:r>
      <w:r>
        <w:rPr>
          <w:rFonts w:hint="eastAsia" w:cs="Times New Roman"/>
          <w:color w:val="auto"/>
          <w:szCs w:val="32"/>
          <w:lang w:val="en-US" w:eastAsia="zh-CN"/>
        </w:rPr>
        <w:t>招标代理</w:t>
      </w:r>
      <w:r>
        <w:rPr>
          <w:rFonts w:cs="Times New Roman"/>
          <w:color w:val="auto"/>
          <w:szCs w:val="32"/>
        </w:rPr>
        <w:t>机构及其项目负责人信用评价工作。</w:t>
      </w:r>
    </w:p>
    <w:p>
      <w:pPr>
        <w:ind w:firstLine="624" w:firstLineChars="200"/>
        <w:rPr>
          <w:color w:val="auto"/>
          <w:kern w:val="0"/>
          <w:szCs w:val="32"/>
          <w:lang w:val="zh-CN"/>
        </w:rPr>
      </w:pPr>
      <w:r>
        <w:rPr>
          <w:rFonts w:cs="Times New Roman"/>
          <w:color w:val="auto"/>
          <w:szCs w:val="32"/>
        </w:rPr>
        <w:t>县级</w:t>
      </w:r>
      <w:r>
        <w:rPr>
          <w:rFonts w:hint="eastAsia" w:cs="Times New Roman"/>
          <w:color w:val="auto"/>
          <w:szCs w:val="32"/>
        </w:rPr>
        <w:t>及</w:t>
      </w:r>
      <w:r>
        <w:rPr>
          <w:rFonts w:cs="Times New Roman"/>
          <w:color w:val="auto"/>
          <w:szCs w:val="32"/>
        </w:rPr>
        <w:t>以上住房城乡建设主管部门</w:t>
      </w:r>
      <w:r>
        <w:rPr>
          <w:rFonts w:hint="eastAsia" w:cs="Times New Roman"/>
          <w:color w:val="auto"/>
          <w:szCs w:val="32"/>
          <w:lang w:val="en-US" w:eastAsia="zh-CN"/>
        </w:rPr>
        <w:t>负责</w:t>
      </w:r>
      <w:r>
        <w:rPr>
          <w:color w:val="auto"/>
          <w:kern w:val="0"/>
          <w:szCs w:val="32"/>
          <w:lang w:val="zh-CN"/>
        </w:rPr>
        <w:t>本行政区域内</w:t>
      </w:r>
      <w:r>
        <w:rPr>
          <w:rFonts w:hint="eastAsia"/>
          <w:color w:val="auto"/>
          <w:kern w:val="0"/>
          <w:szCs w:val="32"/>
          <w:lang w:val="en-US" w:eastAsia="zh-CN"/>
        </w:rPr>
        <w:t>房建市政项目</w:t>
      </w:r>
      <w:r>
        <w:rPr>
          <w:color w:val="auto"/>
          <w:kern w:val="0"/>
          <w:szCs w:val="32"/>
          <w:lang w:val="zh-CN"/>
        </w:rPr>
        <w:t>招标代理机构及其项目负责人的信用信息采集、公示、公开、异议处理、监管等工作。</w:t>
      </w:r>
    </w:p>
    <w:p>
      <w:pPr>
        <w:ind w:firstLine="624" w:firstLineChars="200"/>
        <w:rPr>
          <w:color w:val="auto"/>
          <w:kern w:val="0"/>
          <w:szCs w:val="32"/>
          <w:lang w:val="zh-CN"/>
        </w:rPr>
      </w:pPr>
      <w:r>
        <w:rPr>
          <w:b/>
          <w:bCs/>
          <w:color w:val="auto"/>
          <w:kern w:val="0"/>
          <w:szCs w:val="32"/>
          <w:lang w:val="zh-CN"/>
        </w:rPr>
        <w:t>第四</w:t>
      </w:r>
      <w:r>
        <w:rPr>
          <w:rFonts w:hint="eastAsia"/>
          <w:b/>
          <w:bCs/>
          <w:color w:val="auto"/>
          <w:kern w:val="0"/>
          <w:szCs w:val="32"/>
          <w:lang w:val="en-US" w:eastAsia="zh-CN"/>
        </w:rPr>
        <w:t>十三</w:t>
      </w:r>
      <w:r>
        <w:rPr>
          <w:b/>
          <w:bCs/>
          <w:color w:val="auto"/>
          <w:kern w:val="0"/>
          <w:szCs w:val="32"/>
          <w:lang w:val="zh-CN"/>
        </w:rPr>
        <w:t>条</w:t>
      </w:r>
      <w:r>
        <w:rPr>
          <w:rFonts w:hint="eastAsia"/>
          <w:b/>
          <w:bCs/>
          <w:color w:val="auto"/>
          <w:kern w:val="0"/>
          <w:szCs w:val="32"/>
          <w:lang w:val="en-US" w:eastAsia="zh-CN"/>
        </w:rPr>
        <w:t xml:space="preserve"> </w:t>
      </w:r>
      <w:r>
        <w:rPr>
          <w:color w:val="auto"/>
          <w:kern w:val="0"/>
          <w:szCs w:val="32"/>
          <w:lang w:val="zh-CN"/>
        </w:rPr>
        <w:t>各级住房城乡建设主管部门应当坚持公开、公平、公正的原则组织开展信用评价。</w:t>
      </w:r>
    </w:p>
    <w:p>
      <w:pPr>
        <w:ind w:firstLine="624" w:firstLineChars="200"/>
        <w:rPr>
          <w:color w:val="auto"/>
          <w:kern w:val="0"/>
          <w:szCs w:val="32"/>
          <w:lang w:val="zh-CN"/>
        </w:rPr>
      </w:pPr>
      <w:r>
        <w:rPr>
          <w:b/>
          <w:bCs/>
          <w:color w:val="auto"/>
          <w:kern w:val="0"/>
          <w:szCs w:val="32"/>
          <w:lang w:val="zh-CN"/>
        </w:rPr>
        <w:t>第</w:t>
      </w:r>
      <w:r>
        <w:rPr>
          <w:rFonts w:hint="eastAsia"/>
          <w:b/>
          <w:bCs/>
          <w:color w:val="auto"/>
          <w:kern w:val="0"/>
          <w:szCs w:val="32"/>
          <w:lang w:val="en-US" w:eastAsia="zh-CN"/>
        </w:rPr>
        <w:t>四十四</w:t>
      </w:r>
      <w:r>
        <w:rPr>
          <w:b/>
          <w:bCs/>
          <w:color w:val="auto"/>
          <w:kern w:val="0"/>
          <w:szCs w:val="32"/>
          <w:lang w:val="zh-CN"/>
        </w:rPr>
        <w:t xml:space="preserve">条 </w:t>
      </w:r>
      <w:r>
        <w:rPr>
          <w:color w:val="auto"/>
          <w:kern w:val="0"/>
          <w:szCs w:val="32"/>
          <w:lang w:val="zh-CN"/>
        </w:rPr>
        <w:t>信用评价由基本信息、优良信用信息、不良信用信息等3个部分构成。</w:t>
      </w:r>
    </w:p>
    <w:p>
      <w:pPr>
        <w:ind w:firstLine="624" w:firstLineChars="200"/>
        <w:rPr>
          <w:color w:val="auto"/>
          <w:kern w:val="0"/>
          <w:szCs w:val="32"/>
          <w:lang w:val="zh-CN"/>
        </w:rPr>
      </w:pPr>
      <w:r>
        <w:rPr>
          <w:b/>
          <w:bCs/>
          <w:color w:val="auto"/>
          <w:kern w:val="0"/>
          <w:szCs w:val="32"/>
          <w:lang w:val="zh-CN"/>
        </w:rPr>
        <w:t>第</w:t>
      </w:r>
      <w:r>
        <w:rPr>
          <w:rFonts w:hint="eastAsia"/>
          <w:b/>
          <w:bCs/>
          <w:color w:val="auto"/>
          <w:kern w:val="0"/>
          <w:szCs w:val="32"/>
          <w:lang w:val="en-US" w:eastAsia="zh-CN"/>
        </w:rPr>
        <w:t>四十五</w:t>
      </w:r>
      <w:r>
        <w:rPr>
          <w:b/>
          <w:bCs/>
          <w:color w:val="auto"/>
          <w:kern w:val="0"/>
          <w:szCs w:val="32"/>
          <w:lang w:val="zh-CN"/>
        </w:rPr>
        <w:t xml:space="preserve">条 </w:t>
      </w:r>
      <w:r>
        <w:rPr>
          <w:color w:val="auto"/>
          <w:kern w:val="0"/>
          <w:szCs w:val="32"/>
          <w:lang w:val="zh-CN"/>
        </w:rPr>
        <w:t>信用评价内容、分值、评价标准、有效期详见附件</w:t>
      </w:r>
      <w:r>
        <w:rPr>
          <w:rFonts w:hint="eastAsia"/>
          <w:color w:val="auto"/>
          <w:kern w:val="0"/>
          <w:szCs w:val="32"/>
          <w:lang w:val="en-US" w:eastAsia="zh-CN"/>
        </w:rPr>
        <w:t>2</w:t>
      </w:r>
      <w:r>
        <w:rPr>
          <w:color w:val="auto"/>
          <w:kern w:val="0"/>
          <w:szCs w:val="32"/>
          <w:lang w:val="zh-CN"/>
        </w:rPr>
        <w:t>《湖南省房屋建筑和市政基础设施工程建设项目招标代理机构及其项目负责人信用评价标准》。</w:t>
      </w:r>
    </w:p>
    <w:p>
      <w:pPr>
        <w:ind w:firstLine="624" w:firstLineChars="200"/>
        <w:rPr>
          <w:color w:val="auto"/>
          <w:kern w:val="0"/>
          <w:szCs w:val="32"/>
          <w:lang w:val="zh-CN"/>
        </w:rPr>
      </w:pPr>
      <w:r>
        <w:rPr>
          <w:b/>
          <w:bCs/>
          <w:color w:val="auto"/>
          <w:kern w:val="0"/>
          <w:szCs w:val="32"/>
          <w:lang w:val="zh-CN"/>
        </w:rPr>
        <w:t>第</w:t>
      </w:r>
      <w:r>
        <w:rPr>
          <w:rFonts w:hint="eastAsia"/>
          <w:b/>
          <w:bCs/>
          <w:color w:val="auto"/>
          <w:kern w:val="0"/>
          <w:szCs w:val="32"/>
          <w:lang w:val="en-US" w:eastAsia="zh-CN"/>
        </w:rPr>
        <w:t>四十六</w:t>
      </w:r>
      <w:r>
        <w:rPr>
          <w:b/>
          <w:bCs/>
          <w:color w:val="auto"/>
          <w:kern w:val="0"/>
          <w:szCs w:val="32"/>
          <w:lang w:val="zh-CN"/>
        </w:rPr>
        <w:t>条</w:t>
      </w:r>
      <w:r>
        <w:rPr>
          <w:rStyle w:val="11"/>
          <w:rFonts w:hint="eastAsia" w:ascii="Times New Roman" w:eastAsia="仿宋_GB2312" w:cs="Times New Roman"/>
          <w:bCs/>
          <w:color w:val="auto"/>
          <w:sz w:val="32"/>
          <w:szCs w:val="32"/>
          <w:lang w:val="zh-CN" w:eastAsia="zh-CN"/>
        </w:rPr>
        <w:t xml:space="preserve"> </w:t>
      </w:r>
      <w:r>
        <w:rPr>
          <w:color w:val="auto"/>
          <w:kern w:val="0"/>
          <w:szCs w:val="32"/>
          <w:lang w:val="zh-CN"/>
        </w:rPr>
        <w:t>信用评价结果由计算机自动生成，按照附件</w:t>
      </w:r>
      <w:r>
        <w:rPr>
          <w:rFonts w:hint="eastAsia"/>
          <w:color w:val="auto"/>
          <w:kern w:val="0"/>
          <w:szCs w:val="32"/>
          <w:lang w:val="en-US" w:eastAsia="zh-CN"/>
        </w:rPr>
        <w:t>2</w:t>
      </w:r>
      <w:r>
        <w:rPr>
          <w:color w:val="auto"/>
          <w:kern w:val="0"/>
          <w:szCs w:val="32"/>
          <w:lang w:val="zh-CN"/>
        </w:rPr>
        <w:t>的规定予以计分，每季度</w:t>
      </w:r>
      <w:r>
        <w:rPr>
          <w:rFonts w:hint="eastAsia"/>
          <w:color w:val="auto"/>
          <w:kern w:val="0"/>
          <w:szCs w:val="32"/>
          <w:lang w:val="en-US" w:eastAsia="zh-CN"/>
        </w:rPr>
        <w:t>更新</w:t>
      </w:r>
      <w:r>
        <w:rPr>
          <w:color w:val="auto"/>
          <w:kern w:val="0"/>
          <w:szCs w:val="32"/>
          <w:lang w:val="zh-CN"/>
        </w:rPr>
        <w:t>一次。</w:t>
      </w:r>
    </w:p>
    <w:p>
      <w:pPr>
        <w:ind w:firstLine="624" w:firstLineChars="200"/>
        <w:rPr>
          <w:rStyle w:val="11"/>
          <w:rFonts w:ascii="Times New Roman" w:eastAsia="仿宋_GB2312"/>
          <w:bCs/>
          <w:color w:val="auto"/>
          <w:sz w:val="32"/>
          <w:szCs w:val="32"/>
        </w:rPr>
      </w:pPr>
      <w:r>
        <w:rPr>
          <w:b/>
          <w:bCs/>
          <w:color w:val="auto"/>
          <w:kern w:val="0"/>
          <w:szCs w:val="32"/>
          <w:lang w:val="zh-CN"/>
        </w:rPr>
        <w:t>第</w:t>
      </w:r>
      <w:r>
        <w:rPr>
          <w:rFonts w:hint="eastAsia"/>
          <w:b/>
          <w:bCs/>
          <w:color w:val="auto"/>
          <w:kern w:val="0"/>
          <w:szCs w:val="32"/>
          <w:lang w:val="en-US" w:eastAsia="zh-CN"/>
        </w:rPr>
        <w:t>四十七</w:t>
      </w:r>
      <w:r>
        <w:rPr>
          <w:rStyle w:val="11"/>
          <w:rFonts w:ascii="Times New Roman" w:eastAsia="仿宋_GB2312"/>
          <w:b/>
          <w:bCs/>
          <w:color w:val="auto"/>
          <w:sz w:val="32"/>
          <w:szCs w:val="32"/>
        </w:rPr>
        <w:t xml:space="preserve">条 </w:t>
      </w:r>
      <w:r>
        <w:rPr>
          <w:rStyle w:val="11"/>
          <w:rFonts w:ascii="Times New Roman" w:eastAsia="仿宋_GB2312"/>
          <w:bCs/>
          <w:color w:val="auto"/>
          <w:sz w:val="32"/>
          <w:szCs w:val="32"/>
        </w:rPr>
        <w:t>招标代理机构及其项目负责人信用信息自产生之日起3个工作日内</w:t>
      </w:r>
      <w:r>
        <w:rPr>
          <w:color w:val="auto"/>
        </w:rPr>
        <w:t>通过“监管平台”</w:t>
      </w:r>
      <w:r>
        <w:rPr>
          <w:rStyle w:val="11"/>
          <w:rFonts w:ascii="Times New Roman" w:eastAsia="仿宋_GB2312"/>
          <w:bCs/>
          <w:color w:val="auto"/>
          <w:sz w:val="32"/>
          <w:szCs w:val="32"/>
        </w:rPr>
        <w:t>采集，</w:t>
      </w:r>
      <w:r>
        <w:rPr>
          <w:rStyle w:val="11"/>
          <w:rFonts w:ascii="Times New Roman" w:eastAsia="仿宋_GB2312"/>
          <w:color w:val="auto"/>
          <w:sz w:val="32"/>
          <w:szCs w:val="32"/>
        </w:rPr>
        <w:t>根据信用信息的来</w:t>
      </w:r>
      <w:r>
        <w:rPr>
          <w:rStyle w:val="11"/>
          <w:rFonts w:ascii="Times New Roman" w:eastAsia="仿宋_GB2312" w:cs="Times New Roman"/>
          <w:bCs/>
          <w:color w:val="auto"/>
          <w:sz w:val="32"/>
          <w:szCs w:val="32"/>
        </w:rPr>
        <w:t>源，</w:t>
      </w:r>
      <w:r>
        <w:rPr>
          <w:rStyle w:val="11"/>
          <w:rFonts w:hint="eastAsia" w:ascii="Times New Roman" w:eastAsia="仿宋_GB2312" w:cs="Times New Roman"/>
          <w:bCs/>
          <w:color w:val="auto"/>
          <w:sz w:val="32"/>
          <w:szCs w:val="32"/>
          <w:lang w:val="en-US" w:eastAsia="zh-CN"/>
        </w:rPr>
        <w:t>采集</w:t>
      </w:r>
      <w:r>
        <w:rPr>
          <w:rStyle w:val="11"/>
          <w:rFonts w:ascii="Times New Roman" w:eastAsia="仿宋_GB2312" w:cs="Times New Roman"/>
          <w:bCs/>
          <w:color w:val="auto"/>
          <w:sz w:val="32"/>
          <w:szCs w:val="32"/>
        </w:rPr>
        <w:t>方式</w:t>
      </w:r>
      <w:r>
        <w:rPr>
          <w:rStyle w:val="11"/>
          <w:rFonts w:ascii="Times New Roman" w:eastAsia="仿宋_GB2312"/>
          <w:bCs/>
          <w:color w:val="auto"/>
          <w:sz w:val="32"/>
          <w:szCs w:val="32"/>
        </w:rPr>
        <w:t>如下：</w:t>
      </w:r>
    </w:p>
    <w:p>
      <w:pPr>
        <w:ind w:firstLine="624" w:firstLineChars="200"/>
        <w:rPr>
          <w:rStyle w:val="11"/>
          <w:rFonts w:ascii="Times New Roman" w:eastAsia="仿宋_GB2312"/>
          <w:bCs/>
          <w:color w:val="auto"/>
          <w:sz w:val="32"/>
          <w:szCs w:val="32"/>
        </w:rPr>
      </w:pPr>
      <w:r>
        <w:rPr>
          <w:rStyle w:val="11"/>
          <w:rFonts w:ascii="Times New Roman" w:eastAsia="仿宋_GB2312"/>
          <w:bCs/>
          <w:color w:val="auto"/>
          <w:sz w:val="32"/>
          <w:szCs w:val="32"/>
        </w:rPr>
        <w:t>（一）经营业绩、</w:t>
      </w:r>
      <w:r>
        <w:rPr>
          <w:rStyle w:val="11"/>
          <w:rFonts w:hint="eastAsia" w:ascii="Times New Roman" w:eastAsia="仿宋_GB2312"/>
          <w:bCs/>
          <w:color w:val="auto"/>
          <w:sz w:val="32"/>
          <w:szCs w:val="32"/>
          <w:lang w:val="en-US" w:eastAsia="zh-CN"/>
        </w:rPr>
        <w:t>考评合格率、核查通报、</w:t>
      </w:r>
      <w:r>
        <w:rPr>
          <w:rStyle w:val="11"/>
          <w:rFonts w:ascii="Times New Roman" w:eastAsia="仿宋_GB2312"/>
          <w:bCs/>
          <w:color w:val="auto"/>
          <w:sz w:val="32"/>
          <w:szCs w:val="32"/>
        </w:rPr>
        <w:t>规范化考评信息由评价系统直接从</w:t>
      </w:r>
      <w:r>
        <w:rPr>
          <w:color w:val="auto"/>
          <w:szCs w:val="32"/>
        </w:rPr>
        <w:t>“监管平台”实施</w:t>
      </w:r>
      <w:r>
        <w:rPr>
          <w:rStyle w:val="11"/>
          <w:rFonts w:ascii="Times New Roman" w:eastAsia="仿宋_GB2312"/>
          <w:bCs/>
          <w:color w:val="auto"/>
          <w:sz w:val="32"/>
          <w:szCs w:val="32"/>
        </w:rPr>
        <w:t>采集；</w:t>
      </w:r>
    </w:p>
    <w:p>
      <w:pPr>
        <w:ind w:firstLine="624" w:firstLineChars="200"/>
        <w:rPr>
          <w:color w:val="auto"/>
          <w:szCs w:val="32"/>
        </w:rPr>
      </w:pPr>
      <w:r>
        <w:rPr>
          <w:rStyle w:val="11"/>
          <w:rFonts w:ascii="Times New Roman" w:eastAsia="仿宋_GB2312"/>
          <w:bCs/>
          <w:color w:val="auto"/>
          <w:sz w:val="32"/>
          <w:szCs w:val="32"/>
        </w:rPr>
        <w:t>（二）纳税信用</w:t>
      </w:r>
      <w:r>
        <w:rPr>
          <w:rStyle w:val="11"/>
          <w:rFonts w:hint="eastAsia"/>
          <w:bCs/>
          <w:color w:val="auto"/>
          <w:sz w:val="32"/>
          <w:szCs w:val="32"/>
          <w:lang w:eastAsia="zh-CN"/>
        </w:rPr>
        <w:t>、</w:t>
      </w:r>
      <w:r>
        <w:rPr>
          <w:rStyle w:val="11"/>
          <w:rFonts w:hint="eastAsia" w:ascii="Times New Roman" w:eastAsia="仿宋_GB2312"/>
          <w:bCs/>
          <w:color w:val="auto"/>
          <w:sz w:val="32"/>
          <w:szCs w:val="32"/>
          <w:lang w:val="en-US" w:eastAsia="zh-CN"/>
        </w:rPr>
        <w:t>司法制裁</w:t>
      </w:r>
      <w:r>
        <w:rPr>
          <w:rStyle w:val="11"/>
          <w:rFonts w:ascii="Times New Roman" w:eastAsia="仿宋_GB2312"/>
          <w:bCs/>
          <w:color w:val="auto"/>
          <w:sz w:val="32"/>
          <w:szCs w:val="32"/>
        </w:rPr>
        <w:t>信息由招标代理机构通过评价系统实</w:t>
      </w:r>
      <w:r>
        <w:rPr>
          <w:rStyle w:val="11"/>
          <w:rFonts w:ascii="Times New Roman" w:eastAsia="仿宋_GB2312" w:cs="Times New Roman"/>
          <w:bCs/>
          <w:color w:val="auto"/>
          <w:sz w:val="32"/>
          <w:szCs w:val="32"/>
        </w:rPr>
        <w:t>施</w:t>
      </w:r>
      <w:r>
        <w:rPr>
          <w:rStyle w:val="11"/>
          <w:rFonts w:hint="eastAsia" w:ascii="Times New Roman" w:eastAsia="仿宋_GB2312" w:cs="Times New Roman"/>
          <w:bCs/>
          <w:color w:val="auto"/>
          <w:sz w:val="32"/>
          <w:szCs w:val="32"/>
          <w:lang w:val="en-US" w:eastAsia="zh-CN"/>
        </w:rPr>
        <w:t>采集</w:t>
      </w:r>
      <w:r>
        <w:rPr>
          <w:rStyle w:val="11"/>
          <w:rFonts w:ascii="Times New Roman" w:eastAsia="仿宋_GB2312" w:cs="Times New Roman"/>
          <w:bCs/>
          <w:color w:val="auto"/>
          <w:sz w:val="32"/>
          <w:szCs w:val="32"/>
        </w:rPr>
        <w:t>；</w:t>
      </w:r>
    </w:p>
    <w:p>
      <w:pPr>
        <w:tabs>
          <w:tab w:val="left" w:pos="3340"/>
        </w:tabs>
        <w:ind w:firstLine="624" w:firstLineChars="200"/>
        <w:rPr>
          <w:rStyle w:val="11"/>
          <w:rFonts w:ascii="Times New Roman" w:eastAsia="仿宋_GB2312"/>
          <w:color w:val="auto"/>
          <w:sz w:val="32"/>
          <w:szCs w:val="32"/>
        </w:rPr>
      </w:pPr>
      <w:r>
        <w:rPr>
          <w:rStyle w:val="11"/>
          <w:rFonts w:ascii="Times New Roman" w:eastAsia="仿宋_GB2312"/>
          <w:bCs/>
          <w:color w:val="auto"/>
          <w:sz w:val="32"/>
          <w:szCs w:val="32"/>
        </w:rPr>
        <w:t>（三）资信评定、行业荣誉、</w:t>
      </w:r>
      <w:r>
        <w:rPr>
          <w:rStyle w:val="11"/>
          <w:rFonts w:hint="eastAsia" w:ascii="Times New Roman" w:eastAsia="仿宋_GB2312"/>
          <w:bCs/>
          <w:color w:val="auto"/>
          <w:sz w:val="32"/>
          <w:szCs w:val="32"/>
          <w:lang w:val="en-US" w:eastAsia="zh-CN"/>
        </w:rPr>
        <w:t>行业抽查、</w:t>
      </w:r>
      <w:r>
        <w:rPr>
          <w:rStyle w:val="11"/>
          <w:rFonts w:hint="eastAsia" w:ascii="Times New Roman" w:eastAsia="仿宋_GB2312" w:cs="Times New Roman"/>
          <w:bCs/>
          <w:color w:val="auto"/>
          <w:sz w:val="32"/>
          <w:szCs w:val="32"/>
          <w:lang w:val="en-US" w:eastAsia="zh-CN"/>
        </w:rPr>
        <w:t>失信黑名单、</w:t>
      </w:r>
      <w:r>
        <w:rPr>
          <w:color w:val="auto"/>
          <w:szCs w:val="32"/>
        </w:rPr>
        <w:t>行政处</w:t>
      </w:r>
      <w:r>
        <w:rPr>
          <w:rFonts w:hint="eastAsia"/>
          <w:color w:val="auto"/>
          <w:szCs w:val="32"/>
          <w:lang w:val="en-US" w:eastAsia="zh-CN"/>
        </w:rPr>
        <w:t>罚</w:t>
      </w:r>
      <w:r>
        <w:rPr>
          <w:color w:val="auto"/>
          <w:szCs w:val="32"/>
        </w:rPr>
        <w:t>、不良行为记录信息</w:t>
      </w:r>
      <w:r>
        <w:rPr>
          <w:rStyle w:val="11"/>
          <w:rFonts w:ascii="Times New Roman" w:eastAsia="仿宋_GB2312"/>
          <w:bCs/>
          <w:color w:val="auto"/>
          <w:sz w:val="32"/>
          <w:szCs w:val="32"/>
        </w:rPr>
        <w:t>由相应</w:t>
      </w:r>
      <w:r>
        <w:rPr>
          <w:rStyle w:val="11"/>
          <w:rFonts w:ascii="Times New Roman" w:eastAsia="仿宋_GB2312"/>
          <w:color w:val="auto"/>
          <w:sz w:val="32"/>
          <w:szCs w:val="32"/>
        </w:rPr>
        <w:t>住房城乡建设主管部门通过评价系统实施采集。</w:t>
      </w:r>
    </w:p>
    <w:p>
      <w:pPr>
        <w:tabs>
          <w:tab w:val="left" w:pos="3340"/>
        </w:tabs>
        <w:ind w:firstLine="624" w:firstLineChars="200"/>
        <w:rPr>
          <w:rStyle w:val="11"/>
          <w:rFonts w:ascii="Times New Roman" w:eastAsia="仿宋_GB2312"/>
          <w:color w:val="auto"/>
          <w:sz w:val="32"/>
          <w:szCs w:val="32"/>
        </w:rPr>
      </w:pPr>
      <w:r>
        <w:rPr>
          <w:rStyle w:val="11"/>
          <w:rFonts w:ascii="Times New Roman" w:eastAsia="仿宋_GB2312"/>
          <w:color w:val="auto"/>
          <w:sz w:val="32"/>
          <w:szCs w:val="32"/>
        </w:rPr>
        <w:t>信用评价的采集依据和主体详见附件</w:t>
      </w:r>
      <w:r>
        <w:rPr>
          <w:rFonts w:hint="eastAsia"/>
          <w:color w:val="auto"/>
          <w:lang w:val="en-US" w:eastAsia="zh-CN"/>
        </w:rPr>
        <w:t>3</w:t>
      </w:r>
      <w:r>
        <w:rPr>
          <w:rStyle w:val="11"/>
          <w:rFonts w:ascii="Times New Roman" w:eastAsia="仿宋_GB2312"/>
          <w:color w:val="auto"/>
          <w:sz w:val="32"/>
          <w:szCs w:val="32"/>
        </w:rPr>
        <w:t>《湖南省房屋建筑和市政基础设施工程建设项目招标代理机构信用评价数据信息的采集依据和主体》。</w:t>
      </w:r>
    </w:p>
    <w:p>
      <w:pPr>
        <w:ind w:firstLine="624" w:firstLineChars="200"/>
        <w:rPr>
          <w:color w:val="auto"/>
        </w:rPr>
      </w:pPr>
      <w:r>
        <w:rPr>
          <w:b/>
          <w:color w:val="auto"/>
        </w:rPr>
        <w:t>第</w:t>
      </w:r>
      <w:r>
        <w:rPr>
          <w:rFonts w:hint="eastAsia"/>
          <w:b/>
          <w:color w:val="auto"/>
          <w:lang w:val="en-US" w:eastAsia="zh-CN"/>
        </w:rPr>
        <w:t>四十八</w:t>
      </w:r>
      <w:r>
        <w:rPr>
          <w:b/>
          <w:color w:val="auto"/>
        </w:rPr>
        <w:t>条</w:t>
      </w:r>
      <w:r>
        <w:rPr>
          <w:rFonts w:hint="eastAsia"/>
          <w:b/>
          <w:color w:val="auto"/>
          <w:lang w:val="en-US" w:eastAsia="zh-CN"/>
        </w:rPr>
        <w:t xml:space="preserve"> </w:t>
      </w:r>
      <w:r>
        <w:rPr>
          <w:color w:val="auto"/>
        </w:rPr>
        <w:t>招标代理机构及其项目负责人优良信用信息和不良信用信息</w:t>
      </w:r>
      <w:r>
        <w:rPr>
          <w:rFonts w:hint="eastAsia"/>
          <w:color w:val="auto"/>
          <w:lang w:val="en-US" w:eastAsia="zh-CN"/>
        </w:rPr>
        <w:t>自</w:t>
      </w:r>
      <w:r>
        <w:rPr>
          <w:color w:val="auto"/>
        </w:rPr>
        <w:t>采集之日起通过“监管平台”进行公示，公示期为</w:t>
      </w:r>
      <w:r>
        <w:rPr>
          <w:rFonts w:hint="eastAsia"/>
          <w:color w:val="auto"/>
        </w:rPr>
        <w:t>3个工作日</w:t>
      </w:r>
      <w:r>
        <w:rPr>
          <w:color w:val="auto"/>
        </w:rPr>
        <w:t>，经公示无异议的，即予以公开。</w:t>
      </w:r>
    </w:p>
    <w:p>
      <w:pPr>
        <w:ind w:firstLine="624" w:firstLineChars="200"/>
        <w:rPr>
          <w:color w:val="auto"/>
        </w:rPr>
      </w:pPr>
      <w:r>
        <w:rPr>
          <w:color w:val="auto"/>
        </w:rPr>
        <w:t>信用信息的修正或撤销，由原信用信息采集单位负责。原信用信息采集单位修正或撤销信用信息前，应通过“监管平台”进行公示，公示期为</w:t>
      </w:r>
      <w:r>
        <w:rPr>
          <w:rFonts w:hint="eastAsia"/>
          <w:color w:val="auto"/>
        </w:rPr>
        <w:t>3个工作日</w:t>
      </w:r>
      <w:r>
        <w:rPr>
          <w:color w:val="auto"/>
        </w:rPr>
        <w:t>。</w:t>
      </w:r>
    </w:p>
    <w:p>
      <w:pPr>
        <w:ind w:firstLine="624" w:firstLineChars="200"/>
        <w:rPr>
          <w:color w:val="auto"/>
          <w:szCs w:val="32"/>
        </w:rPr>
      </w:pPr>
      <w:r>
        <w:rPr>
          <w:b/>
          <w:color w:val="auto"/>
          <w:szCs w:val="32"/>
        </w:rPr>
        <w:t>第</w:t>
      </w:r>
      <w:r>
        <w:rPr>
          <w:rFonts w:hint="eastAsia"/>
          <w:b/>
          <w:color w:val="auto"/>
          <w:szCs w:val="32"/>
          <w:lang w:val="en-US" w:eastAsia="zh-CN"/>
        </w:rPr>
        <w:t>四</w:t>
      </w:r>
      <w:r>
        <w:rPr>
          <w:b/>
          <w:color w:val="auto"/>
          <w:szCs w:val="32"/>
        </w:rPr>
        <w:t>十</w:t>
      </w:r>
      <w:r>
        <w:rPr>
          <w:rFonts w:hint="eastAsia"/>
          <w:b/>
          <w:color w:val="auto"/>
          <w:szCs w:val="32"/>
          <w:lang w:val="en-US" w:eastAsia="zh-CN"/>
        </w:rPr>
        <w:t>九</w:t>
      </w:r>
      <w:r>
        <w:rPr>
          <w:b/>
          <w:color w:val="auto"/>
          <w:szCs w:val="32"/>
        </w:rPr>
        <w:t>条</w:t>
      </w:r>
      <w:r>
        <w:rPr>
          <w:rFonts w:hint="eastAsia"/>
          <w:b/>
          <w:color w:val="auto"/>
          <w:szCs w:val="32"/>
          <w:lang w:val="en-US" w:eastAsia="zh-CN"/>
        </w:rPr>
        <w:t xml:space="preserve"> </w:t>
      </w:r>
      <w:r>
        <w:rPr>
          <w:bCs/>
          <w:color w:val="auto"/>
          <w:szCs w:val="32"/>
        </w:rPr>
        <w:t>公示期内，</w:t>
      </w:r>
      <w:r>
        <w:rPr>
          <w:color w:val="auto"/>
          <w:szCs w:val="32"/>
        </w:rPr>
        <w:t>招标代理机构及项目负责人对信用信息有异议的，可以向采集该信用信息的住房城乡建设主管部门提出申诉，并提交相关证明材料。</w:t>
      </w:r>
    </w:p>
    <w:p>
      <w:pPr>
        <w:ind w:firstLine="624" w:firstLineChars="200"/>
        <w:rPr>
          <w:color w:val="auto"/>
          <w:szCs w:val="32"/>
        </w:rPr>
      </w:pPr>
      <w:r>
        <w:rPr>
          <w:color w:val="auto"/>
          <w:szCs w:val="32"/>
        </w:rPr>
        <w:t>住房城乡建设主管部门应当自受理申诉之日起20个工作日内进行核实并作出处理，同时予以公开。</w:t>
      </w:r>
    </w:p>
    <w:p>
      <w:pPr>
        <w:ind w:firstLine="624" w:firstLineChars="200"/>
        <w:rPr>
          <w:color w:val="auto"/>
          <w:szCs w:val="32"/>
        </w:rPr>
      </w:pPr>
      <w:r>
        <w:rPr>
          <w:b/>
          <w:color w:val="auto"/>
          <w:szCs w:val="32"/>
        </w:rPr>
        <w:t>第</w:t>
      </w:r>
      <w:r>
        <w:rPr>
          <w:rFonts w:hint="eastAsia"/>
          <w:b/>
          <w:color w:val="auto"/>
          <w:szCs w:val="32"/>
          <w:lang w:val="en-US" w:eastAsia="zh-CN"/>
        </w:rPr>
        <w:t>五</w:t>
      </w:r>
      <w:r>
        <w:rPr>
          <w:b/>
          <w:color w:val="auto"/>
          <w:szCs w:val="32"/>
        </w:rPr>
        <w:t>十条</w:t>
      </w:r>
      <w:r>
        <w:rPr>
          <w:rFonts w:hint="eastAsia"/>
          <w:b/>
          <w:color w:val="auto"/>
          <w:szCs w:val="32"/>
          <w:lang w:val="en-US" w:eastAsia="zh-CN"/>
        </w:rPr>
        <w:t xml:space="preserve"> </w:t>
      </w:r>
      <w:r>
        <w:rPr>
          <w:bCs/>
          <w:color w:val="auto"/>
          <w:szCs w:val="32"/>
        </w:rPr>
        <w:t>申诉人对申诉处理意见不服的，可在收到</w:t>
      </w:r>
      <w:r>
        <w:rPr>
          <w:color w:val="auto"/>
          <w:szCs w:val="32"/>
        </w:rPr>
        <w:t>处理意见之日起5个工作日内向上一级住房城乡建设主管部门提出复核申请，复核机关应</w:t>
      </w:r>
      <w:r>
        <w:rPr>
          <w:rFonts w:hint="eastAsia"/>
          <w:color w:val="auto"/>
          <w:szCs w:val="32"/>
        </w:rPr>
        <w:t>当自</w:t>
      </w:r>
      <w:r>
        <w:rPr>
          <w:color w:val="auto"/>
          <w:szCs w:val="32"/>
        </w:rPr>
        <w:t>收到复核申请的20个工作日内做出复核决定，复核期间原认定结果有效。复核决定改变原申诉处理意见的，应当予以公开。</w:t>
      </w:r>
    </w:p>
    <w:p>
      <w:pPr>
        <w:ind w:firstLine="624" w:firstLineChars="200"/>
        <w:rPr>
          <w:color w:val="auto"/>
          <w:szCs w:val="32"/>
        </w:rPr>
      </w:pPr>
      <w:r>
        <w:rPr>
          <w:b/>
          <w:color w:val="auto"/>
          <w:szCs w:val="32"/>
        </w:rPr>
        <w:t>第</w:t>
      </w:r>
      <w:r>
        <w:rPr>
          <w:rFonts w:hint="eastAsia"/>
          <w:b/>
          <w:color w:val="auto"/>
          <w:szCs w:val="32"/>
          <w:lang w:val="en-US" w:eastAsia="zh-CN"/>
        </w:rPr>
        <w:t>五</w:t>
      </w:r>
      <w:r>
        <w:rPr>
          <w:b/>
          <w:color w:val="auto"/>
          <w:szCs w:val="32"/>
        </w:rPr>
        <w:t>十</w:t>
      </w:r>
      <w:r>
        <w:rPr>
          <w:rFonts w:hint="eastAsia"/>
          <w:b/>
          <w:color w:val="auto"/>
          <w:szCs w:val="32"/>
          <w:lang w:val="en-US" w:eastAsia="zh-CN"/>
        </w:rPr>
        <w:t>一</w:t>
      </w:r>
      <w:r>
        <w:rPr>
          <w:b/>
          <w:color w:val="auto"/>
          <w:szCs w:val="32"/>
        </w:rPr>
        <w:t xml:space="preserve">条 </w:t>
      </w:r>
      <w:r>
        <w:rPr>
          <w:color w:val="auto"/>
          <w:szCs w:val="32"/>
        </w:rPr>
        <w:t>信用评价结果发布时间为每季度末月30日，被评价人和信用评价结果运用人可通过“监</w:t>
      </w:r>
      <w:r>
        <w:rPr>
          <w:rFonts w:hint="eastAsia"/>
          <w:color w:val="auto"/>
          <w:szCs w:val="32"/>
        </w:rPr>
        <w:t>管</w:t>
      </w:r>
      <w:r>
        <w:rPr>
          <w:color w:val="auto"/>
          <w:szCs w:val="32"/>
        </w:rPr>
        <w:t>平台”查阅和打印。</w:t>
      </w:r>
    </w:p>
    <w:p>
      <w:pPr>
        <w:ind w:firstLine="624" w:firstLineChars="200"/>
        <w:rPr>
          <w:color w:val="auto"/>
          <w:szCs w:val="32"/>
        </w:rPr>
      </w:pPr>
      <w:r>
        <w:rPr>
          <w:b/>
          <w:bCs/>
          <w:color w:val="auto"/>
          <w:szCs w:val="32"/>
        </w:rPr>
        <w:t>第</w:t>
      </w:r>
      <w:r>
        <w:rPr>
          <w:rFonts w:hint="eastAsia"/>
          <w:b/>
          <w:bCs/>
          <w:color w:val="auto"/>
          <w:szCs w:val="32"/>
          <w:lang w:val="en-US" w:eastAsia="zh-CN"/>
        </w:rPr>
        <w:t>五</w:t>
      </w:r>
      <w:r>
        <w:rPr>
          <w:b/>
          <w:bCs/>
          <w:color w:val="auto"/>
          <w:szCs w:val="32"/>
        </w:rPr>
        <w:t>十</w:t>
      </w:r>
      <w:r>
        <w:rPr>
          <w:rFonts w:hint="eastAsia"/>
          <w:b/>
          <w:bCs/>
          <w:color w:val="auto"/>
          <w:szCs w:val="32"/>
          <w:lang w:val="en-US" w:eastAsia="zh-CN"/>
        </w:rPr>
        <w:t>二</w:t>
      </w:r>
      <w:r>
        <w:rPr>
          <w:b/>
          <w:bCs/>
          <w:color w:val="auto"/>
          <w:szCs w:val="32"/>
        </w:rPr>
        <w:t>条</w:t>
      </w:r>
      <w:r>
        <w:rPr>
          <w:rFonts w:hint="eastAsia"/>
          <w:b/>
          <w:bCs/>
          <w:color w:val="auto"/>
          <w:szCs w:val="32"/>
          <w:lang w:val="en-US" w:eastAsia="zh-CN"/>
        </w:rPr>
        <w:t xml:space="preserve"> </w:t>
      </w:r>
      <w:r>
        <w:rPr>
          <w:b/>
          <w:bCs/>
          <w:color w:val="auto"/>
          <w:szCs w:val="32"/>
        </w:rPr>
        <w:t xml:space="preserve"> </w:t>
      </w:r>
      <w:r>
        <w:rPr>
          <w:color w:val="auto"/>
          <w:szCs w:val="32"/>
        </w:rPr>
        <w:t>信用信息有效期内，项目负责人变更从业单位的，项目负责人在原招标代理机构发生的信用信息记录对其个人继续有效，但不计入新入聘的从业单位，保留在原招标代理机构。</w:t>
      </w:r>
    </w:p>
    <w:p>
      <w:pPr>
        <w:ind w:firstLine="624" w:firstLineChars="200"/>
        <w:rPr>
          <w:rFonts w:hint="default" w:ascii="Calibri" w:hAnsi="Calibri" w:cs="Calibri"/>
          <w:color w:val="auto"/>
          <w:sz w:val="21"/>
          <w:szCs w:val="21"/>
        </w:rPr>
      </w:pPr>
      <w:r>
        <w:rPr>
          <w:rStyle w:val="11"/>
          <w:rFonts w:ascii="Times New Roman" w:eastAsia="仿宋_GB2312"/>
          <w:b/>
          <w:bCs/>
          <w:color w:val="auto"/>
          <w:sz w:val="32"/>
          <w:szCs w:val="32"/>
        </w:rPr>
        <w:t>第</w:t>
      </w:r>
      <w:r>
        <w:rPr>
          <w:rStyle w:val="11"/>
          <w:rFonts w:hint="eastAsia" w:ascii="Times New Roman" w:eastAsia="仿宋_GB2312" w:cs="Times New Roman"/>
          <w:b/>
          <w:bCs/>
          <w:color w:val="auto"/>
          <w:sz w:val="32"/>
          <w:szCs w:val="32"/>
          <w:lang w:val="en-US" w:eastAsia="zh-CN"/>
        </w:rPr>
        <w:t>五十三条</w:t>
      </w:r>
      <w:r>
        <w:rPr>
          <w:rStyle w:val="11"/>
          <w:rFonts w:hint="eastAsia" w:cs="Times New Roman"/>
          <w:b/>
          <w:bCs/>
          <w:color w:val="auto"/>
          <w:sz w:val="32"/>
          <w:szCs w:val="32"/>
          <w:lang w:val="en-US" w:eastAsia="zh-CN"/>
        </w:rPr>
        <w:t xml:space="preserve"> </w:t>
      </w:r>
      <w:r>
        <w:rPr>
          <w:rFonts w:hint="eastAsia" w:ascii="仿宋_GB2312" w:hAnsi="Times New Roman" w:eastAsia="仿宋_GB2312" w:cs="仿宋_GB2312"/>
          <w:i w:val="0"/>
          <w:iCs w:val="0"/>
          <w:caps w:val="0"/>
          <w:color w:val="auto"/>
          <w:spacing w:val="0"/>
          <w:kern w:val="0"/>
          <w:sz w:val="32"/>
          <w:szCs w:val="32"/>
          <w:lang w:val="en-US" w:eastAsia="zh-CN" w:bidi="ar"/>
        </w:rPr>
        <w:t>本</w:t>
      </w:r>
      <w:r>
        <w:rPr>
          <w:rFonts w:hint="default" w:ascii="仿宋_GB2312" w:hAnsi="Times New Roman" w:eastAsia="仿宋_GB2312" w:cs="仿宋_GB2312"/>
          <w:i w:val="0"/>
          <w:iCs w:val="0"/>
          <w:caps w:val="0"/>
          <w:color w:val="auto"/>
          <w:spacing w:val="0"/>
          <w:kern w:val="0"/>
          <w:sz w:val="32"/>
          <w:szCs w:val="32"/>
          <w:lang w:val="en-US" w:eastAsia="zh-CN" w:bidi="ar"/>
        </w:rPr>
        <w:t>信用</w:t>
      </w:r>
      <w:r>
        <w:rPr>
          <w:rFonts w:hint="eastAsia" w:ascii="仿宋_GB2312" w:cs="仿宋_GB2312"/>
          <w:i w:val="0"/>
          <w:iCs w:val="0"/>
          <w:caps w:val="0"/>
          <w:color w:val="auto"/>
          <w:spacing w:val="0"/>
          <w:kern w:val="0"/>
          <w:sz w:val="32"/>
          <w:szCs w:val="32"/>
          <w:lang w:val="en-US" w:eastAsia="zh-CN" w:bidi="ar"/>
        </w:rPr>
        <w:t>评价结果</w:t>
      </w:r>
      <w:r>
        <w:rPr>
          <w:rFonts w:hint="default" w:ascii="仿宋_GB2312" w:hAnsi="Times New Roman" w:eastAsia="仿宋_GB2312" w:cs="仿宋_GB2312"/>
          <w:i w:val="0"/>
          <w:iCs w:val="0"/>
          <w:caps w:val="0"/>
          <w:color w:val="auto"/>
          <w:spacing w:val="0"/>
          <w:kern w:val="0"/>
          <w:sz w:val="32"/>
          <w:szCs w:val="32"/>
          <w:lang w:val="en-US" w:eastAsia="zh-CN" w:bidi="ar"/>
        </w:rPr>
        <w:t>适用于全省</w:t>
      </w:r>
      <w:r>
        <w:rPr>
          <w:rFonts w:hint="eastAsia" w:ascii="仿宋_GB2312" w:cs="仿宋_GB2312"/>
          <w:i w:val="0"/>
          <w:iCs w:val="0"/>
          <w:caps w:val="0"/>
          <w:color w:val="auto"/>
          <w:spacing w:val="0"/>
          <w:kern w:val="0"/>
          <w:sz w:val="32"/>
          <w:szCs w:val="32"/>
          <w:lang w:val="en-US" w:eastAsia="zh-CN" w:bidi="ar"/>
        </w:rPr>
        <w:t>房建市政</w:t>
      </w:r>
      <w:r>
        <w:rPr>
          <w:rFonts w:hint="default" w:ascii="仿宋_GB2312" w:hAnsi="Times New Roman" w:eastAsia="仿宋_GB2312" w:cs="仿宋_GB2312"/>
          <w:i w:val="0"/>
          <w:iCs w:val="0"/>
          <w:caps w:val="0"/>
          <w:color w:val="auto"/>
          <w:spacing w:val="0"/>
          <w:kern w:val="0"/>
          <w:sz w:val="32"/>
          <w:szCs w:val="32"/>
          <w:lang w:val="en-US" w:eastAsia="zh-CN" w:bidi="ar"/>
        </w:rPr>
        <w:t>工程建设项目招标投标领域</w:t>
      </w:r>
      <w:r>
        <w:rPr>
          <w:rFonts w:hint="eastAsia" w:ascii="仿宋_GB2312" w:cs="仿宋_GB2312"/>
          <w:i w:val="0"/>
          <w:iCs w:val="0"/>
          <w:caps w:val="0"/>
          <w:color w:val="auto"/>
          <w:spacing w:val="0"/>
          <w:kern w:val="0"/>
          <w:sz w:val="32"/>
          <w:szCs w:val="32"/>
          <w:lang w:val="en-US" w:eastAsia="zh-CN" w:bidi="ar"/>
        </w:rPr>
        <w:t>，</w:t>
      </w:r>
      <w:r>
        <w:rPr>
          <w:rFonts w:hint="default" w:ascii="仿宋_GB2312" w:hAnsi="Times New Roman" w:eastAsia="仿宋_GB2312" w:cs="仿宋_GB2312"/>
          <w:i w:val="0"/>
          <w:iCs w:val="0"/>
          <w:caps w:val="0"/>
          <w:color w:val="auto"/>
          <w:spacing w:val="0"/>
          <w:kern w:val="0"/>
          <w:sz w:val="32"/>
          <w:szCs w:val="32"/>
          <w:lang w:val="en-US" w:eastAsia="zh-CN" w:bidi="ar"/>
        </w:rPr>
        <w:t>支持评价结果在</w:t>
      </w:r>
      <w:r>
        <w:rPr>
          <w:rFonts w:hint="eastAsia" w:ascii="仿宋_GB2312" w:eastAsia="仿宋_GB2312" w:cs="仿宋_GB2312"/>
          <w:i w:val="0"/>
          <w:iCs w:val="0"/>
          <w:caps w:val="0"/>
          <w:color w:val="auto"/>
          <w:spacing w:val="0"/>
          <w:kern w:val="0"/>
          <w:sz w:val="32"/>
          <w:szCs w:val="32"/>
          <w:lang w:val="en-US" w:eastAsia="zh-CN" w:bidi="ar"/>
        </w:rPr>
        <w:t>房建市政项目</w:t>
      </w:r>
      <w:r>
        <w:rPr>
          <w:rFonts w:hint="default" w:ascii="仿宋_GB2312" w:hAnsi="Times New Roman" w:eastAsia="仿宋_GB2312" w:cs="仿宋_GB2312"/>
          <w:i w:val="0"/>
          <w:iCs w:val="0"/>
          <w:caps w:val="0"/>
          <w:color w:val="auto"/>
          <w:spacing w:val="0"/>
          <w:kern w:val="0"/>
          <w:sz w:val="32"/>
          <w:szCs w:val="32"/>
          <w:lang w:val="en-US" w:eastAsia="zh-CN" w:bidi="ar"/>
        </w:rPr>
        <w:t>招标代理机构的</w:t>
      </w:r>
      <w:r>
        <w:rPr>
          <w:rFonts w:hint="eastAsia" w:ascii="仿宋_GB2312" w:cs="仿宋_GB2312"/>
          <w:i w:val="0"/>
          <w:iCs w:val="0"/>
          <w:caps w:val="0"/>
          <w:color w:val="auto"/>
          <w:spacing w:val="0"/>
          <w:kern w:val="0"/>
          <w:sz w:val="32"/>
          <w:szCs w:val="32"/>
          <w:lang w:val="en-US" w:eastAsia="zh-CN" w:bidi="ar"/>
        </w:rPr>
        <w:t>选取、</w:t>
      </w:r>
      <w:r>
        <w:rPr>
          <w:rFonts w:hint="default" w:ascii="仿宋_GB2312" w:hAnsi="Times New Roman" w:eastAsia="仿宋_GB2312" w:cs="仿宋_GB2312"/>
          <w:i w:val="0"/>
          <w:iCs w:val="0"/>
          <w:caps w:val="0"/>
          <w:color w:val="auto"/>
          <w:spacing w:val="0"/>
          <w:kern w:val="0"/>
          <w:sz w:val="32"/>
          <w:szCs w:val="32"/>
          <w:lang w:val="en-US" w:eastAsia="zh-CN" w:bidi="ar"/>
        </w:rPr>
        <w:t>业务承接、事中事后监管、政策扶持等方面中应用。鼓励招标人在选择招标代理机构时将信用评价结果作为重要参考依据。</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96" w:lineRule="atLeast"/>
        <w:ind w:left="0" w:right="0"/>
        <w:jc w:val="center"/>
        <w:rPr>
          <w:rFonts w:hint="default" w:ascii="黑体" w:hAnsi="宋体" w:eastAsia="黑体" w:cs="黑体"/>
          <w:i w:val="0"/>
          <w:iCs w:val="0"/>
          <w:caps w:val="0"/>
          <w:color w:val="auto"/>
          <w:spacing w:val="0"/>
          <w:kern w:val="0"/>
          <w:sz w:val="32"/>
          <w:szCs w:val="32"/>
          <w:shd w:val="clear" w:color="auto" w:fill="FFFFFF"/>
          <w:lang w:val="en-US" w:eastAsia="zh-CN" w:bidi="ar"/>
        </w:rPr>
      </w:pPr>
      <w:r>
        <w:rPr>
          <w:rFonts w:hint="eastAsia" w:ascii="黑体" w:hAnsi="宋体" w:eastAsia="黑体" w:cs="黑体"/>
          <w:i w:val="0"/>
          <w:iCs w:val="0"/>
          <w:caps w:val="0"/>
          <w:color w:val="auto"/>
          <w:spacing w:val="0"/>
          <w:kern w:val="0"/>
          <w:sz w:val="32"/>
          <w:szCs w:val="32"/>
          <w:shd w:val="clear" w:color="auto" w:fill="FFFFFF"/>
          <w:lang w:val="en-US" w:eastAsia="zh-CN" w:bidi="ar"/>
        </w:rPr>
        <w:t>第六章</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行政处罚、失信联合惩戒及履职要求</w:t>
      </w:r>
    </w:p>
    <w:p>
      <w:pPr>
        <w:tabs>
          <w:tab w:val="left" w:pos="5168"/>
        </w:tabs>
        <w:bidi w:val="0"/>
        <w:ind w:left="0" w:leftChars="0" w:firstLine="618" w:firstLineChars="198"/>
        <w:jc w:val="both"/>
        <w:rPr>
          <w:rFonts w:hint="default" w:ascii="Times New Roman" w:hAnsi="Times New Roman" w:cs="Times New Roman"/>
          <w:color w:val="auto"/>
          <w:sz w:val="21"/>
          <w:szCs w:val="21"/>
        </w:rPr>
      </w:pP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第</w:t>
      </w:r>
      <w:r>
        <w:rPr>
          <w:rFonts w:hint="eastAsia" w:ascii="仿宋_GB2312" w:eastAsia="仿宋_GB2312" w:cs="仿宋_GB2312"/>
          <w:b/>
          <w:bCs/>
          <w:i w:val="0"/>
          <w:iCs w:val="0"/>
          <w:caps w:val="0"/>
          <w:color w:val="auto"/>
          <w:spacing w:val="0"/>
          <w:kern w:val="0"/>
          <w:sz w:val="32"/>
          <w:szCs w:val="32"/>
          <w:shd w:val="clear" w:color="auto" w:fill="FFFFFF"/>
          <w:lang w:val="en-US" w:eastAsia="zh-CN" w:bidi="ar"/>
        </w:rPr>
        <w:t>五</w:t>
      </w: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十</w:t>
      </w:r>
      <w:r>
        <w:rPr>
          <w:rFonts w:hint="eastAsia" w:ascii="仿宋_GB2312" w:cs="仿宋_GB2312"/>
          <w:b/>
          <w:bCs/>
          <w:i w:val="0"/>
          <w:iCs w:val="0"/>
          <w:caps w:val="0"/>
          <w:color w:val="auto"/>
          <w:spacing w:val="0"/>
          <w:kern w:val="0"/>
          <w:sz w:val="32"/>
          <w:szCs w:val="32"/>
          <w:shd w:val="clear" w:color="auto" w:fill="FFFFFF"/>
          <w:lang w:val="en-US" w:eastAsia="zh-CN" w:bidi="ar"/>
        </w:rPr>
        <w:t>四</w:t>
      </w: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条</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招标代理机构及</w:t>
      </w:r>
      <w:r>
        <w:rPr>
          <w:rFonts w:hint="eastAsia" w:ascii="仿宋_GB2312" w:cs="仿宋_GB2312"/>
          <w:i w:val="0"/>
          <w:iCs w:val="0"/>
          <w:caps w:val="0"/>
          <w:color w:val="auto"/>
          <w:spacing w:val="0"/>
          <w:kern w:val="0"/>
          <w:sz w:val="32"/>
          <w:szCs w:val="32"/>
          <w:shd w:val="clear" w:color="auto" w:fill="FFFFFF"/>
          <w:lang w:val="en-US" w:eastAsia="zh-CN" w:bidi="ar"/>
        </w:rPr>
        <w:t>专职</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人员存在违法行为、应当给予行政处罚的，行政监督部门应当依法实施行政处罚，并按照规定纳入信用记录；需给予处分或者涉嫌犯罪的，应当及时向有关机关移送。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96" w:lineRule="atLeast"/>
        <w:ind w:left="0" w:right="0" w:firstLine="640"/>
        <w:jc w:val="both"/>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pP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第</w:t>
      </w:r>
      <w:r>
        <w:rPr>
          <w:rFonts w:hint="eastAsia" w:ascii="仿宋_GB2312" w:eastAsia="仿宋_GB2312" w:cs="仿宋_GB2312"/>
          <w:b/>
          <w:bCs/>
          <w:i w:val="0"/>
          <w:iCs w:val="0"/>
          <w:caps w:val="0"/>
          <w:color w:val="auto"/>
          <w:spacing w:val="0"/>
          <w:kern w:val="0"/>
          <w:sz w:val="32"/>
          <w:szCs w:val="32"/>
          <w:shd w:val="clear" w:color="auto" w:fill="FFFFFF"/>
          <w:lang w:val="en-US" w:eastAsia="zh-CN" w:bidi="ar"/>
        </w:rPr>
        <w:t>五</w:t>
      </w: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十</w:t>
      </w:r>
      <w:r>
        <w:rPr>
          <w:rFonts w:hint="eastAsia" w:ascii="仿宋_GB2312" w:cs="仿宋_GB2312"/>
          <w:b/>
          <w:bCs/>
          <w:i w:val="0"/>
          <w:iCs w:val="0"/>
          <w:caps w:val="0"/>
          <w:color w:val="auto"/>
          <w:spacing w:val="0"/>
          <w:kern w:val="0"/>
          <w:sz w:val="32"/>
          <w:szCs w:val="32"/>
          <w:shd w:val="clear" w:color="auto" w:fill="FFFFFF"/>
          <w:lang w:val="en-US" w:eastAsia="zh-CN" w:bidi="ar"/>
        </w:rPr>
        <w:t>五</w:t>
      </w:r>
      <w:r>
        <w:rPr>
          <w:rFonts w:hint="default" w:ascii="仿宋_GB2312" w:hAnsi="Times New Roman" w:eastAsia="仿宋_GB2312" w:cs="仿宋_GB2312"/>
          <w:b/>
          <w:bCs/>
          <w:i w:val="0"/>
          <w:iCs w:val="0"/>
          <w:caps w:val="0"/>
          <w:color w:val="auto"/>
          <w:spacing w:val="0"/>
          <w:kern w:val="0"/>
          <w:sz w:val="32"/>
          <w:szCs w:val="32"/>
          <w:shd w:val="clear" w:color="auto" w:fill="FFFFFF"/>
          <w:lang w:val="en-US" w:eastAsia="zh-CN" w:bidi="ar"/>
        </w:rPr>
        <w:t>条</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招标代理机构及</w:t>
      </w:r>
      <w:r>
        <w:rPr>
          <w:rFonts w:hint="eastAsia" w:ascii="仿宋_GB2312" w:cs="仿宋_GB2312"/>
          <w:i w:val="0"/>
          <w:iCs w:val="0"/>
          <w:caps w:val="0"/>
          <w:color w:val="auto"/>
          <w:spacing w:val="0"/>
          <w:kern w:val="0"/>
          <w:sz w:val="32"/>
          <w:szCs w:val="32"/>
          <w:shd w:val="clear" w:color="auto" w:fill="FFFFFF"/>
          <w:lang w:val="en-US" w:eastAsia="zh-CN" w:bidi="ar"/>
        </w:rPr>
        <w:t>专职</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人员存在公共资源交易领域严重失信行为的，</w:t>
      </w:r>
      <w:r>
        <w:rPr>
          <w:color w:val="auto"/>
          <w:szCs w:val="32"/>
        </w:rPr>
        <w:t>住房城乡建设主管部门</w:t>
      </w:r>
      <w:r>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t>会同有关部门按照有关规定予以联合惩戒。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96" w:lineRule="atLeast"/>
        <w:ind w:left="0" w:right="0" w:firstLine="640"/>
        <w:jc w:val="both"/>
        <w:rPr>
          <w:rFonts w:hint="default"/>
          <w:color w:val="auto"/>
          <w:szCs w:val="32"/>
          <w:lang w:val="en-US" w:eastAsia="zh-CN"/>
        </w:rPr>
      </w:pPr>
      <w:r>
        <w:rPr>
          <w:rFonts w:hint="default"/>
          <w:b/>
          <w:bCs/>
          <w:color w:val="auto"/>
          <w:szCs w:val="32"/>
          <w:lang w:val="en-US" w:eastAsia="zh-CN"/>
        </w:rPr>
        <w:t>第五十</w:t>
      </w:r>
      <w:r>
        <w:rPr>
          <w:rFonts w:hint="eastAsia"/>
          <w:b/>
          <w:bCs/>
          <w:color w:val="auto"/>
          <w:szCs w:val="32"/>
          <w:lang w:val="en-US" w:eastAsia="zh-CN"/>
        </w:rPr>
        <w:t>六</w:t>
      </w:r>
      <w:r>
        <w:rPr>
          <w:rFonts w:hint="default"/>
          <w:b/>
          <w:bCs/>
          <w:color w:val="auto"/>
          <w:szCs w:val="32"/>
          <w:lang w:val="en-US" w:eastAsia="zh-CN"/>
        </w:rPr>
        <w:t>条</w:t>
      </w:r>
      <w:r>
        <w:rPr>
          <w:rFonts w:hint="default"/>
          <w:color w:val="auto"/>
          <w:szCs w:val="32"/>
          <w:lang w:val="en-US" w:eastAsia="zh-CN"/>
        </w:rPr>
        <w:t xml:space="preserve">  各级住房城乡建设主管部门负责房建市政项目招投标活动的监管人员在监管工作中应当客观公正、认真履职，不得徇私舞弊。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96" w:lineRule="atLeast"/>
        <w:ind w:left="0" w:right="0" w:firstLine="640"/>
        <w:jc w:val="both"/>
        <w:rPr>
          <w:rFonts w:hint="default" w:ascii="仿宋_GB2312" w:hAnsi="Times New Roman" w:eastAsia="仿宋_GB2312" w:cs="仿宋_GB2312"/>
          <w:i w:val="0"/>
          <w:iCs w:val="0"/>
          <w:caps w:val="0"/>
          <w:color w:val="auto"/>
          <w:spacing w:val="0"/>
          <w:kern w:val="0"/>
          <w:sz w:val="32"/>
          <w:szCs w:val="32"/>
          <w:shd w:val="clear" w:color="auto" w:fill="FFFFFF"/>
          <w:lang w:val="en-US" w:eastAsia="zh-CN" w:bidi="ar"/>
        </w:rPr>
      </w:pPr>
      <w:r>
        <w:rPr>
          <w:rFonts w:hint="default"/>
          <w:color w:val="auto"/>
          <w:szCs w:val="32"/>
          <w:lang w:val="en-US" w:eastAsia="zh-CN"/>
        </w:rPr>
        <w:t>各级住房城乡建设主管部门收到监管人员涉嫌违反工作纪律投诉举报、信访的，应当按照干部管理权限予以认真核实，对于监管工作人员和负有管理责任的领导人员存在违法违规行为的，根据《公职人员政务处分暂行规定》给予相应的政务处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312" w:beforeAutospacing="0" w:after="312" w:afterAutospacing="0" w:line="580" w:lineRule="atLeast"/>
        <w:ind w:left="0" w:right="0"/>
        <w:jc w:val="center"/>
        <w:rPr>
          <w:rFonts w:hint="default" w:ascii="Times New Roman" w:hAnsi="Times New Roman" w:cs="Times New Roman"/>
          <w:color w:val="auto"/>
          <w:sz w:val="21"/>
          <w:szCs w:val="21"/>
        </w:rPr>
      </w:pPr>
      <w:r>
        <w:rPr>
          <w:rFonts w:hint="eastAsia" w:ascii="黑体" w:hAnsi="宋体" w:eastAsia="黑体" w:cs="黑体"/>
          <w:i w:val="0"/>
          <w:iCs w:val="0"/>
          <w:caps w:val="0"/>
          <w:color w:val="auto"/>
          <w:spacing w:val="0"/>
          <w:kern w:val="0"/>
          <w:sz w:val="32"/>
          <w:szCs w:val="32"/>
          <w:shd w:val="clear" w:color="auto" w:fill="FFFFFF"/>
          <w:lang w:val="en-US" w:eastAsia="zh-CN" w:bidi="ar"/>
        </w:rPr>
        <w:t>第七章</w:t>
      </w:r>
      <w:r>
        <w:rPr>
          <w:rFonts w:hint="default" w:ascii="Times New Roman" w:hAnsi="Times New Roman" w:eastAsia="微软雅黑" w:cs="Times New Roman"/>
          <w:i w:val="0"/>
          <w:iCs w:val="0"/>
          <w:caps w:val="0"/>
          <w:color w:val="auto"/>
          <w:spacing w:val="0"/>
          <w:kern w:val="0"/>
          <w:sz w:val="32"/>
          <w:szCs w:val="32"/>
          <w:shd w:val="clear" w:color="auto" w:fill="FFFFFF"/>
          <w:lang w:val="en-US" w:eastAsia="zh-CN" w:bidi="ar"/>
        </w:rPr>
        <w:t>   </w:t>
      </w:r>
      <w:r>
        <w:rPr>
          <w:rFonts w:hint="eastAsia" w:ascii="黑体" w:hAnsi="宋体" w:eastAsia="黑体" w:cs="黑体"/>
          <w:i w:val="0"/>
          <w:iCs w:val="0"/>
          <w:caps w:val="0"/>
          <w:color w:val="auto"/>
          <w:spacing w:val="0"/>
          <w:kern w:val="0"/>
          <w:sz w:val="32"/>
          <w:szCs w:val="32"/>
          <w:shd w:val="clear" w:color="auto" w:fill="FFFFFF"/>
          <w:lang w:val="en-US" w:eastAsia="zh-CN" w:bidi="ar"/>
        </w:rPr>
        <w:t>附则</w:t>
      </w:r>
    </w:p>
    <w:p>
      <w:pPr>
        <w:ind w:firstLine="624" w:firstLineChars="200"/>
        <w:rPr>
          <w:rFonts w:cs="Times New Roman"/>
          <w:color w:val="auto"/>
        </w:rPr>
      </w:pPr>
      <w:r>
        <w:rPr>
          <w:rFonts w:cs="Times New Roman"/>
          <w:b/>
          <w:color w:val="auto"/>
        </w:rPr>
        <w:t>第</w:t>
      </w:r>
      <w:r>
        <w:rPr>
          <w:rFonts w:hint="eastAsia" w:cs="Times New Roman"/>
          <w:b/>
          <w:color w:val="auto"/>
          <w:lang w:val="en-US" w:eastAsia="zh-CN"/>
        </w:rPr>
        <w:t>五</w:t>
      </w:r>
      <w:r>
        <w:rPr>
          <w:rFonts w:cs="Times New Roman"/>
          <w:b/>
          <w:color w:val="auto"/>
        </w:rPr>
        <w:t>十</w:t>
      </w:r>
      <w:r>
        <w:rPr>
          <w:rFonts w:hint="eastAsia" w:cs="Times New Roman"/>
          <w:b/>
          <w:color w:val="auto"/>
          <w:lang w:val="en-US" w:eastAsia="zh-CN"/>
        </w:rPr>
        <w:t>七</w:t>
      </w:r>
      <w:r>
        <w:rPr>
          <w:rFonts w:cs="Times New Roman"/>
          <w:b/>
          <w:color w:val="auto"/>
        </w:rPr>
        <w:t>条</w:t>
      </w:r>
      <w:r>
        <w:rPr>
          <w:rFonts w:cs="Times New Roman"/>
          <w:color w:val="auto"/>
        </w:rPr>
        <w:t xml:space="preserve"> 本办法自20</w:t>
      </w:r>
      <w:r>
        <w:rPr>
          <w:rFonts w:hint="eastAsia" w:cs="Times New Roman"/>
          <w:color w:val="auto"/>
          <w:lang w:val="en-US" w:eastAsia="zh-CN"/>
        </w:rPr>
        <w:t>24</w:t>
      </w:r>
      <w:r>
        <w:rPr>
          <w:rFonts w:cs="Times New Roman"/>
          <w:color w:val="auto"/>
        </w:rPr>
        <w:t xml:space="preserve">年 </w:t>
      </w:r>
      <w:r>
        <w:rPr>
          <w:rFonts w:hint="eastAsia" w:cs="Times New Roman"/>
          <w:color w:val="auto"/>
          <w:lang w:val="en-US" w:eastAsia="zh-CN"/>
        </w:rPr>
        <w:t>1</w:t>
      </w:r>
      <w:r>
        <w:rPr>
          <w:rFonts w:cs="Times New Roman"/>
          <w:color w:val="auto"/>
        </w:rPr>
        <w:t>月</w:t>
      </w:r>
      <w:r>
        <w:rPr>
          <w:rFonts w:hint="eastAsia" w:cs="Times New Roman"/>
          <w:color w:val="auto"/>
        </w:rPr>
        <w:t>1</w:t>
      </w:r>
      <w:r>
        <w:rPr>
          <w:rFonts w:cs="Times New Roman"/>
          <w:color w:val="auto"/>
        </w:rPr>
        <w:t>日起施行，有效期至</w:t>
      </w:r>
      <w:r>
        <w:rPr>
          <w:rFonts w:hint="eastAsia" w:cs="Times New Roman"/>
          <w:color w:val="auto"/>
        </w:rPr>
        <w:t>202</w:t>
      </w:r>
      <w:r>
        <w:rPr>
          <w:rFonts w:hint="eastAsia" w:cs="Times New Roman"/>
          <w:color w:val="auto"/>
          <w:lang w:val="en-US" w:eastAsia="zh-CN"/>
        </w:rPr>
        <w:t>8</w:t>
      </w:r>
      <w:r>
        <w:rPr>
          <w:rFonts w:cs="Times New Roman"/>
          <w:color w:val="auto"/>
        </w:rPr>
        <w:t>年</w:t>
      </w:r>
      <w:r>
        <w:rPr>
          <w:rFonts w:hint="eastAsia" w:cs="Times New Roman"/>
          <w:color w:val="auto"/>
          <w:lang w:val="en-US" w:eastAsia="zh-CN"/>
        </w:rPr>
        <w:t>12</w:t>
      </w:r>
      <w:r>
        <w:rPr>
          <w:rFonts w:cs="Times New Roman"/>
          <w:color w:val="auto"/>
        </w:rPr>
        <w:t>月</w:t>
      </w:r>
      <w:r>
        <w:rPr>
          <w:rFonts w:hint="eastAsia" w:cs="Times New Roman"/>
          <w:color w:val="auto"/>
          <w:lang w:val="en-US" w:eastAsia="zh-CN"/>
        </w:rPr>
        <w:t>3</w:t>
      </w:r>
      <w:r>
        <w:rPr>
          <w:rFonts w:hint="eastAsia" w:cs="Times New Roman"/>
          <w:color w:val="auto"/>
        </w:rPr>
        <w:t>1</w:t>
      </w:r>
      <w:r>
        <w:rPr>
          <w:rFonts w:cs="Times New Roman"/>
          <w:color w:val="auto"/>
        </w:rPr>
        <w:t>日止。</w:t>
      </w:r>
    </w:p>
    <w:p>
      <w:pPr>
        <w:ind w:left="2028" w:leftChars="200" w:hanging="1404" w:hangingChars="450"/>
        <w:rPr>
          <w:color w:val="auto"/>
          <w:szCs w:val="32"/>
        </w:rPr>
      </w:pPr>
    </w:p>
    <w:p>
      <w:pPr>
        <w:ind w:left="2028" w:leftChars="200" w:hanging="1404" w:hangingChars="450"/>
        <w:rPr>
          <w:color w:val="auto"/>
          <w:szCs w:val="32"/>
        </w:rPr>
      </w:pPr>
      <w:r>
        <w:rPr>
          <w:color w:val="auto"/>
          <w:szCs w:val="32"/>
        </w:rPr>
        <w:t>附</w:t>
      </w:r>
      <w:r>
        <w:rPr>
          <w:rFonts w:hint="eastAsia"/>
          <w:color w:val="auto"/>
          <w:szCs w:val="32"/>
        </w:rPr>
        <w:t>件</w:t>
      </w:r>
      <w:r>
        <w:rPr>
          <w:color w:val="auto"/>
          <w:szCs w:val="32"/>
        </w:rPr>
        <w:t>：</w:t>
      </w:r>
    </w:p>
    <w:p>
      <w:pPr>
        <w:numPr>
          <w:ilvl w:val="0"/>
          <w:numId w:val="1"/>
        </w:numPr>
        <w:ind w:left="0" w:leftChars="0" w:firstLine="618" w:firstLineChars="198"/>
        <w:rPr>
          <w:color w:val="auto"/>
        </w:rPr>
      </w:pPr>
      <w:r>
        <w:rPr>
          <w:color w:val="auto"/>
        </w:rPr>
        <w:t>湖南省房屋建筑和市政基础设施工程建设项目招标代理规范化考评标准</w:t>
      </w:r>
      <w:r>
        <w:rPr>
          <w:rFonts w:hint="eastAsia"/>
          <w:color w:val="auto"/>
          <w:lang w:eastAsia="zh-CN"/>
        </w:rPr>
        <w:t>；</w:t>
      </w:r>
    </w:p>
    <w:p>
      <w:pPr>
        <w:numPr>
          <w:ilvl w:val="0"/>
          <w:numId w:val="1"/>
        </w:numPr>
        <w:ind w:left="0" w:leftChars="0" w:firstLine="618" w:firstLineChars="198"/>
        <w:rPr>
          <w:color w:val="auto"/>
          <w:szCs w:val="32"/>
        </w:rPr>
      </w:pPr>
      <w:r>
        <w:rPr>
          <w:color w:val="auto"/>
          <w:kern w:val="0"/>
          <w:szCs w:val="32"/>
        </w:rPr>
        <w:t>湖南省房屋建筑和市政基础设施工程</w:t>
      </w:r>
      <w:r>
        <w:rPr>
          <w:rFonts w:hint="eastAsia"/>
          <w:color w:val="auto"/>
          <w:kern w:val="0"/>
          <w:szCs w:val="32"/>
        </w:rPr>
        <w:t>建设项目</w:t>
      </w:r>
      <w:r>
        <w:rPr>
          <w:color w:val="auto"/>
          <w:kern w:val="0"/>
          <w:szCs w:val="32"/>
        </w:rPr>
        <w:t>招标代理机构及项目负责人信用评价标准</w:t>
      </w:r>
      <w:r>
        <w:rPr>
          <w:color w:val="auto"/>
          <w:szCs w:val="32"/>
        </w:rPr>
        <w:t>（内含</w:t>
      </w:r>
      <w:r>
        <w:rPr>
          <w:rFonts w:hint="eastAsia"/>
          <w:color w:val="auto"/>
          <w:szCs w:val="32"/>
          <w:lang w:val="en-US" w:eastAsia="zh-CN"/>
        </w:rPr>
        <w:t>3</w:t>
      </w:r>
      <w:r>
        <w:rPr>
          <w:color w:val="auto"/>
          <w:szCs w:val="32"/>
        </w:rPr>
        <w:t>个表格）</w:t>
      </w:r>
      <w:r>
        <w:rPr>
          <w:rFonts w:hint="eastAsia"/>
          <w:color w:val="auto"/>
          <w:szCs w:val="32"/>
          <w:lang w:eastAsia="zh-CN"/>
        </w:rPr>
        <w:t>；</w:t>
      </w:r>
    </w:p>
    <w:p>
      <w:pPr>
        <w:ind w:left="0" w:leftChars="0" w:firstLine="618" w:firstLineChars="198"/>
        <w:rPr>
          <w:rFonts w:hint="eastAsia" w:eastAsia="仿宋_GB2312"/>
          <w:b/>
          <w:color w:val="auto"/>
          <w:szCs w:val="32"/>
          <w:lang w:eastAsia="zh-CN"/>
        </w:rPr>
        <w:sectPr>
          <w:headerReference r:id="rId3" w:type="default"/>
          <w:footerReference r:id="rId5" w:type="default"/>
          <w:headerReference r:id="rId4" w:type="even"/>
          <w:footerReference r:id="rId6" w:type="even"/>
          <w:pgSz w:w="11906" w:h="16838"/>
          <w:pgMar w:top="2098" w:right="1588" w:bottom="2098" w:left="1588" w:header="1701" w:footer="1701" w:gutter="0"/>
          <w:pgNumType w:start="1"/>
          <w:cols w:space="0" w:num="1"/>
          <w:docGrid w:type="linesAndChars" w:linePitch="574" w:charSpace="-1683"/>
        </w:sectPr>
      </w:pPr>
      <w:r>
        <w:rPr>
          <w:rFonts w:hint="eastAsia"/>
          <w:color w:val="auto"/>
          <w:szCs w:val="32"/>
          <w:lang w:val="en-US" w:eastAsia="zh-CN"/>
        </w:rPr>
        <w:t>3、</w:t>
      </w:r>
      <w:r>
        <w:rPr>
          <w:color w:val="auto"/>
          <w:szCs w:val="32"/>
        </w:rPr>
        <w:t>湖</w:t>
      </w:r>
      <w:r>
        <w:rPr>
          <w:color w:val="auto"/>
          <w:spacing w:val="2"/>
          <w:szCs w:val="32"/>
        </w:rPr>
        <w:t>南省</w:t>
      </w:r>
      <w:r>
        <w:rPr>
          <w:color w:val="auto"/>
          <w:spacing w:val="2"/>
          <w:kern w:val="0"/>
          <w:szCs w:val="32"/>
        </w:rPr>
        <w:t>房屋建筑和市政基础设施工程</w:t>
      </w:r>
      <w:r>
        <w:rPr>
          <w:rFonts w:hint="eastAsia"/>
          <w:color w:val="auto"/>
          <w:spacing w:val="2"/>
          <w:kern w:val="0"/>
          <w:szCs w:val="32"/>
        </w:rPr>
        <w:t>建设项目</w:t>
      </w:r>
      <w:r>
        <w:rPr>
          <w:color w:val="auto"/>
          <w:spacing w:val="2"/>
          <w:szCs w:val="32"/>
        </w:rPr>
        <w:t>招标代理机构</w:t>
      </w:r>
      <w:r>
        <w:rPr>
          <w:color w:val="auto"/>
          <w:szCs w:val="32"/>
        </w:rPr>
        <w:t>及项目负责人</w:t>
      </w:r>
      <w:r>
        <w:rPr>
          <w:color w:val="auto"/>
          <w:kern w:val="0"/>
          <w:szCs w:val="32"/>
        </w:rPr>
        <w:t>信用评价数据信息的采集依据和主体</w:t>
      </w:r>
      <w:r>
        <w:rPr>
          <w:rFonts w:hint="eastAsia"/>
          <w:color w:val="auto"/>
          <w:kern w:val="0"/>
          <w:szCs w:val="32"/>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2" w:firstLine="0"/>
        <w:jc w:val="both"/>
        <w:rPr>
          <w:rFonts w:hint="eastAsia" w:ascii="宋体" w:hAnsi="宋体" w:eastAsia="宋体" w:cs="宋体"/>
          <w:b/>
          <w:bCs w:val="0"/>
          <w:color w:val="auto"/>
          <w:kern w:val="0"/>
          <w:sz w:val="36"/>
          <w:szCs w:val="36"/>
        </w:rPr>
      </w:pPr>
      <w:r>
        <w:rPr>
          <w:rFonts w:hint="default" w:ascii="黑体" w:hAnsi="黑体" w:eastAsia="黑体"/>
          <w:color w:val="auto"/>
          <w:lang w:val="en-US" w:eastAsia="zh-CN"/>
        </w:rPr>
        <w:t>附件</w:t>
      </w:r>
      <w:r>
        <w:rPr>
          <w:rFonts w:hint="eastAsia" w:ascii="黑体" w:hAnsi="黑体" w:eastAsia="黑体"/>
          <w:color w:val="auto"/>
          <w:lang w:val="en-US" w:eastAsia="zh-CN"/>
        </w:rPr>
        <w:t xml:space="preserve">1             </w:t>
      </w:r>
      <w:r>
        <w:rPr>
          <w:rFonts w:hint="eastAsia" w:ascii="宋体" w:hAnsi="宋体" w:eastAsia="宋体" w:cs="宋体"/>
          <w:b/>
          <w:bCs w:val="0"/>
          <w:color w:val="auto"/>
          <w:kern w:val="0"/>
          <w:sz w:val="36"/>
          <w:szCs w:val="36"/>
        </w:rPr>
        <w:t>湖南省房屋建筑和市政基础设施工程建设项目</w:t>
      </w:r>
    </w:p>
    <w:p>
      <w:pPr>
        <w:spacing w:line="600" w:lineRule="exact"/>
        <w:ind w:right="3" w:rightChars="1"/>
        <w:jc w:val="center"/>
        <w:rPr>
          <w:rFonts w:hint="eastAsia" w:ascii="宋体" w:hAnsi="宋体" w:eastAsia="宋体" w:cs="宋体"/>
          <w:b/>
          <w:bCs w:val="0"/>
          <w:color w:val="auto"/>
          <w:kern w:val="0"/>
          <w:sz w:val="36"/>
          <w:szCs w:val="36"/>
        </w:rPr>
      </w:pPr>
      <w:r>
        <w:rPr>
          <w:rFonts w:hint="eastAsia" w:ascii="宋体" w:hAnsi="宋体" w:eastAsia="宋体" w:cs="宋体"/>
          <w:b/>
          <w:bCs w:val="0"/>
          <w:color w:val="auto"/>
          <w:kern w:val="0"/>
          <w:sz w:val="36"/>
          <w:szCs w:val="36"/>
        </w:rPr>
        <w:t>招标代理规范化考评标准</w:t>
      </w:r>
    </w:p>
    <w:tbl>
      <w:tblPr>
        <w:tblStyle w:val="5"/>
        <w:tblW w:w="14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11"/>
        <w:gridCol w:w="915"/>
        <w:gridCol w:w="1658"/>
        <w:gridCol w:w="8280"/>
        <w:gridCol w:w="2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restart"/>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评价环节</w:t>
            </w:r>
          </w:p>
        </w:tc>
        <w:tc>
          <w:tcPr>
            <w:tcW w:w="915" w:type="dxa"/>
            <w:vMerge w:val="restart"/>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代码</w:t>
            </w:r>
          </w:p>
        </w:tc>
        <w:tc>
          <w:tcPr>
            <w:tcW w:w="12786" w:type="dxa"/>
            <w:gridSpan w:val="3"/>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评价内容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continue"/>
            <w:tcMar>
              <w:left w:w="108" w:type="dxa"/>
              <w:right w:w="108" w:type="dxa"/>
            </w:tcMar>
            <w:vAlign w:val="center"/>
          </w:tcPr>
          <w:p>
            <w:pPr>
              <w:rPr>
                <w:rFonts w:hint="eastAsia" w:ascii="微软雅黑" w:hAnsi="微软雅黑" w:eastAsia="微软雅黑" w:cs="微软雅黑"/>
                <w:color w:val="auto"/>
                <w:sz w:val="21"/>
                <w:szCs w:val="21"/>
              </w:rPr>
            </w:pPr>
          </w:p>
        </w:tc>
        <w:tc>
          <w:tcPr>
            <w:tcW w:w="915" w:type="dxa"/>
            <w:vMerge w:val="continue"/>
            <w:tcMar>
              <w:left w:w="108" w:type="dxa"/>
              <w:right w:w="108" w:type="dxa"/>
            </w:tcMar>
            <w:vAlign w:val="center"/>
          </w:tcPr>
          <w:p>
            <w:pPr>
              <w:rPr>
                <w:rFonts w:hint="eastAsia" w:ascii="微软雅黑" w:hAnsi="微软雅黑" w:eastAsia="微软雅黑" w:cs="微软雅黑"/>
                <w:color w:val="auto"/>
                <w:sz w:val="21"/>
                <w:szCs w:val="21"/>
              </w:rPr>
            </w:pPr>
          </w:p>
        </w:tc>
        <w:tc>
          <w:tcPr>
            <w:tcW w:w="1658" w:type="dxa"/>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eastAsia" w:ascii="黑体" w:hAnsi="宋体" w:eastAsia="黑体" w:cs="黑体"/>
                <w:color w:val="auto"/>
                <w:kern w:val="0"/>
                <w:sz w:val="21"/>
                <w:szCs w:val="21"/>
                <w:lang w:val="en-US" w:eastAsia="zh-CN" w:bidi="ar"/>
              </w:rPr>
            </w:pPr>
            <w:r>
              <w:rPr>
                <w:rFonts w:hint="eastAsia" w:ascii="黑体" w:hAnsi="宋体" w:eastAsia="黑体" w:cs="黑体"/>
                <w:color w:val="auto"/>
                <w:kern w:val="0"/>
                <w:sz w:val="21"/>
                <w:szCs w:val="21"/>
                <w:lang w:val="en-US" w:eastAsia="zh-CN" w:bidi="ar"/>
              </w:rPr>
              <w:t>不规范行为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认定事项</w:t>
            </w:r>
          </w:p>
        </w:tc>
        <w:tc>
          <w:tcPr>
            <w:tcW w:w="8280" w:type="dxa"/>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不规范行为认定标准</w:t>
            </w:r>
          </w:p>
        </w:tc>
        <w:tc>
          <w:tcPr>
            <w:tcW w:w="2848" w:type="dxa"/>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0" w:lineRule="atLeast"/>
              <w:ind w:left="0" w:right="0"/>
              <w:jc w:val="center"/>
              <w:rPr>
                <w:rFonts w:hint="default" w:ascii="Times New Roman" w:hAnsi="Times New Roman" w:cs="Times New Roman"/>
                <w:color w:val="auto"/>
                <w:sz w:val="21"/>
                <w:szCs w:val="21"/>
              </w:rPr>
            </w:pPr>
            <w:r>
              <w:rPr>
                <w:rFonts w:hint="eastAsia" w:ascii="黑体" w:hAnsi="宋体" w:eastAsia="黑体" w:cs="黑体"/>
                <w:color w:val="auto"/>
                <w:kern w:val="0"/>
                <w:sz w:val="21"/>
                <w:szCs w:val="21"/>
                <w:lang w:val="en-US" w:eastAsia="zh-CN" w:bidi="ar"/>
              </w:rPr>
              <w:t>认定依据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代理合同监管环节</w:t>
            </w: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招标代理委托合同签订</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1.未与招标人签定招标代理委托合同</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《中华人民共和国招标投标法实施条例》第14条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招标代理收费</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2.以明显不合理低价承揽业务的</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BG.2</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招标代理项目组人员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1.招标公告及招标文件中的招标代理项目组人员与招标代理委托合同中注明的人员不一致</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《湖南省招标代理机构及从业人员监督管理办法》第7-13条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2.招标代理项目负责人变更不符合《监管办法》规定的，或者招标代理项目负责人变更，未经招标人同意</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BG.3</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委托代理权限</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1.未经招标人同意，转让招标代理业务</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《工程建设项目施工招标投标办法》第22条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5"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招标文件监管环节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招标文件监管环节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招标文件监管环节</w:t>
            </w: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BG.4</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BG.4</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资格预审文件、招标文件编制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资格预审文件、招标文件编制</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1.未完成相关行政主管部门项目审批、核准、备案等手续，或项目内容、招标方式变更未经相关行政主管部门批准，就进行招标文件备案或者进场交易预约</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《中华人民共和国招标投标法》第9条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9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2.应采用全流程电子化招标方式的交易项目，未经行政监督部门备案同意擅自采用线下交易方式（即纸质标方式）</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《关于建立健全招标投标监管长效机制规范招标投标活动的意见》第8条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6"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3.未规范使用标准文件，应勾选的未勾选、错误勾选、应填写的内容未填写、擅自修改标准文件不允许修改的内容等情形，按每出现一项错误扣分（同类错误仅扣一次）</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《中华人民共和国招标投标法实施条例》第15条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4.投标人资质设定不符合国家规定的资质标准</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5.项目基本情况表述不明晰，影响资质、业绩、奖项等设置</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2" w:hRule="atLeast"/>
          <w:jc w:val="center"/>
        </w:trPr>
        <w:tc>
          <w:tcPr>
            <w:tcW w:w="711"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6.资格预审文件、招标文件就同一事项的规定或约定模糊不清或前后不一致，导致评标难以进行或者引发争议</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7.类似工程业绩设置不符合省行政监督部门的规定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8.招标文件未将否决条款集中载明</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9.招标文件中出现法律、法规、规章和规范性文件禁止条款，按每出现一项禁止条款扣分</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0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10.政府投资项目委派业主评委未按照省和行业规定执行</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《关于建立健全招标投标监管长效机制规范招标投标活动的意见》第9条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BG.5</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资格预审公告、招标公告内容及发布</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1.未载明招标人及其招标代理机构的名称、地址、联系人、联系方式，或者填写错误</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《中华人民共和国招标投标法》第16条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7"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2.未载明招标项目的性质、数量、实施地点和时间以及获取文件的办法等事项，或者填写错误</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3.未载明潜在投标人访问电子招标投标交易平台的网址和方法，或者填写错误</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4.因招标代理机构原因未将数据电文形式的资格预审文件、招标文件加载至电子招标投标交易平台</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BG.6</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资格预审文件、招标文件的澄清、修改</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1.招标文件澄清、修改时增加或者删除否决性条款，未将修改后完整的否决性条款集中载明</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《中华人民共和国招标投标法实施条例》第21条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1" w:beforeAutospacing="0" w:after="31"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2.同一资格预审文件或者招标文件因代理机构原因澄清或修改次数超过2次</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5" w:hRule="atLeast"/>
          <w:jc w:val="center"/>
        </w:trPr>
        <w:tc>
          <w:tcPr>
            <w:tcW w:w="711"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BG.7</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招标项目技术标准、合同条款编制</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1.国家对招标项目的技术、标准有规定的，未按照其规定在招标文件中提出相应要求</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《中华人民共和国招标投标法》第19条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《工程建设项目施工招标投标办法》第26条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2.招标文件规定的各项技术标准不符合国家强制性标准</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3.招标文件引用失效的技术规范、标准</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4.招标文件未载明拟签订合同的主要条款</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BG.8</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资格预审办法、评标办法编制</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1.资格预审文件未载明资格预审条件、标准和方法</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《工程建设项目施工招标投标办法》第18条、第28条，《工程建设项目货物招标投标办法》第19条、第26条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2.资格预审办法选取不符合省行政监督部门的规定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3.招标文件未明确规定所有评审因素，或者未将评审因素进行量化</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4.评标办法选取不符合省行政监督部门的规定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5.评标办法的具体指标选取不符合省行政监督部门的规定，按每出现一项错误扣分（同类错误仅扣一次）</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3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BG.9</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招标文件中投标有效期、投标保证金、履约保证金、最高投标限价等内容</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1.招标文件未载明投标有效期</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《中华人民共和国招标投标法实施条例》第25条、第26条、第27条、第58条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2.招标文件规定的投标有效期起算时间不符合招标投标法律法规规定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3.招标文件中载明的投标保证不符合《湖南省省本级公共资源交易保证金统一管理办法》的规定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4.招标文件中载明的投标保证金提交截止时间与投标文件提交截止时间不一致</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5.招标文件中载明的履约保证金不符合省行政监督部门的规定</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6.招标项目设有最高投标限价，但招标文件中未明确最高投标限价具体金额</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开标评标环节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开标评标环节</w:t>
            </w: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BG.10</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招标代理项目组人员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1.参加开标评标环节的招标代理项目组人员与招标代理委托合同中注明的人员不一致</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《湖南省招标代理机构及从业人员监督管理办法》第7-13条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2.项目负责人没有按要求到场组织开标评标、处理异议</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BG.11</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BG.11</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开标</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kern w:val="0"/>
                <w:sz w:val="24"/>
                <w:szCs w:val="24"/>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开标</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1.招标代理机构在投标截止时间前未做好开标准备工作，导致无法开标或者开标延误</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《中华人民共和国招标投标法实施条例》第44条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2.招标代理机构在交易平台上录入信息有误，导致无法开标或者开标延误</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3.招标代理机构不按规定程序、公告时间开标，擅自提前或延迟开标</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《中华人民共和国招标投标法》第34条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4.纸质标项目在投标截止时间后仍接受投标文件的</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《中华人民共和国招标投标法实施条例》第36条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5.对投标人在开标现场提出的异议，未按规定作出答复或者未按规定制作记录</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《中华人民共和国招标投标法实施条例》第44条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6.专家抽取申请信息填写不完整或有错误影响专家抽取工作正常进行，或者影响专家报酬支付</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《中华人民共和国招标投标法实施条例》第46条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7.实行资格预审的项目，招标人在进行资格审查时，改变载明的资格条件或者以没有载明的资格条件对潜在投标人或者投标人进行资格审查，招标代理机构未发现</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《工程建设项目施工招标投标办法》第18条、《工程建设项目货物招标投标办法》第19条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8.因工作失误、投标资格认定错误（如投标保函核对等）导致投标人的投标被错误拒绝或接受</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34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《中华人民共和国招标投标法》第36条、《中华人民共和国招标投标法实施条例》第48条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340" w:lineRule="exact"/>
              <w:ind w:left="0" w:right="0"/>
              <w:jc w:val="lef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9.未按规定完整记录开标情况并形成开标记录表、未及时将开标记录情况发送至评标委员会，影响评标</w:t>
            </w:r>
          </w:p>
        </w:tc>
        <w:tc>
          <w:tcPr>
            <w:tcW w:w="2848"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340" w:lineRule="exact"/>
              <w:ind w:left="0" w:right="0"/>
              <w:jc w:val="lef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10.开标结束后，未按交易中心有关规定将样品或纸质评审资料等送入评标区，影响评标</w:t>
            </w:r>
          </w:p>
        </w:tc>
        <w:tc>
          <w:tcPr>
            <w:tcW w:w="2848"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 w:beforeAutospacing="0" w:after="15" w:afterAutospacing="0" w:line="340" w:lineRule="exact"/>
              <w:ind w:left="0" w:right="0"/>
              <w:jc w:val="lef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2" w:hRule="atLeast"/>
          <w:jc w:val="center"/>
        </w:trPr>
        <w:tc>
          <w:tcPr>
            <w:tcW w:w="711"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BG.12</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评标</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1.按规定应当采取远程异地评标的项目，因招标代理机构原因未采用远程异地评标</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《湖南省工程建设项目远程异地评标暂行管理办法》第4条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7"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2.招标代理机构未向或未及时向评标委员会提供评标所需的重要信息和数据，或提供的重要信息和数据带有明示或者暗示倾向或者排斥特定投标人</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《评标委员会和评标方法暂行规定》第16条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3"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3.招标代理机构在交易平台上录入信息有误，导致无法正常评标</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4.招标代理机构对评标委员会提出的澄清问题回复错误，影响评标结果</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5.在交易中心现场，违规打探评标专家信息，或者违规与专家接触</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《中华人民共和国招标投标法实施条例》第48条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BG.13</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专家报酬支付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1.不按规定标准和方式支付专家报酬，或者向专家以外人员支付劳务费</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《湖南省综合评标专家库和评标专家管理办法》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0"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标后监管环节</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BG.14</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资格预审结果通知</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1.资格预审结束后，因招标代理机构原因未及时向资格预审申请人发出资格预审结果通知书</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《工程建设项目施工招标投标办法》第19条、《工程建设项目货物招标投标办法》第20条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2.资格预审结束后，因招标代理机构原因未将资格预审结果告知不合格的潜在投标人</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61"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3.资格预审结束后，因招标代理机构原因泄露通过资格预审申请人的名称和数量</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BG.15</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中标候选人和中标结果公示</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1.招标人收到评标报告之日起3日内，因招标代理机构原因未发布中标候选人公示</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《中华人民共和国招标投标法实施条例》第54条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2.未使用行政监督部门颁发的标准文件编制中标候选人公示</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3.在中标候选人公示期间，接受不符合异议程序的质疑，且以此为理由暂停公示</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07" w:hRule="atLeast"/>
          <w:jc w:val="center"/>
        </w:trPr>
        <w:tc>
          <w:tcPr>
            <w:tcW w:w="711" w:type="dxa"/>
            <w:vMerge w:val="continue"/>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BG.16</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中标通知书发放及招标情况备案</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1.提交的招标情况备案资料不符合行政监督部门规定</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《中华人民共和国招标投标法》第45条、第47条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2.篡改招标情况备案资料</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3.中标人确定后，因招标代理机构原因未向中标人发出中标通知书</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BG.17</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保证金退还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w:t>
            </w:r>
            <w:r>
              <w:rPr>
                <w:rFonts w:hint="eastAsia" w:ascii="仿宋" w:hAnsi="仿宋" w:eastAsia="仿宋" w:cs="仿宋"/>
                <w:color w:val="auto"/>
                <w:spacing w:val="-4"/>
                <w:kern w:val="0"/>
                <w:sz w:val="24"/>
                <w:szCs w:val="24"/>
                <w:lang w:val="en-US" w:eastAsia="zh-CN" w:bidi="ar"/>
              </w:rPr>
              <w:t>未及时申请发起保证金退还手续，或无故拖延保证金退还时间的，或项目存在异常情况时没有及时暂停保证金退还而导致退款</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《湖南省省本级公共资源交易保证金统一管理办法》第13-15条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BG.18</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标后稽查</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1.对行政监督部门标后稽查中查阅资料、调查有关情况的行为不积极配合</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《中华人民共和国招标投标法》第7条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2.标后稽查中未按要求及时提供资料及情况</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34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异议投诉环节</w:t>
            </w: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BG.19</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招标代理项目组人员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1.处理异议或者协助投诉处理的招标代理项目组人员与招标代理委托合同中注明的人员不一致</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《湖南省招标代理机构及从业人员监督管理办法》第7-13条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2.项目负责人没有按要求参与异议处理或者协助投诉处理</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34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BG.20</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处理异议</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1.因招标代理机构原因对潜在投标人、投标人或者其他利害关系人依法递交的书面异议予以拒收</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《中华人民共和国招标投标法实施条例》第22条、第54条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2.因招标代理机构原因未依法对符合条件的异议作出回复</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BG.21</w:t>
            </w:r>
          </w:p>
        </w:tc>
        <w:tc>
          <w:tcPr>
            <w:tcW w:w="165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协助投诉处理</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1.对行政监督部门处理投诉中查阅、复制有关文件、资料，调查有关情况的行为不积极配合</w:t>
            </w:r>
          </w:p>
        </w:tc>
        <w:tc>
          <w:tcPr>
            <w:tcW w:w="2848"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《中华人民共和国招标投标法》第7条，《中华人民共和国招标投标法实施条例》第62条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7"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165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2.未按要求及时提供资料及情况</w:t>
            </w:r>
          </w:p>
        </w:tc>
        <w:tc>
          <w:tcPr>
            <w:tcW w:w="2848"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0" w:hRule="atLeast"/>
          <w:jc w:val="center"/>
        </w:trPr>
        <w:tc>
          <w:tcPr>
            <w:tcW w:w="711" w:type="dxa"/>
            <w:vMerge w:val="restart"/>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各环节</w:t>
            </w:r>
          </w:p>
        </w:tc>
        <w:tc>
          <w:tcPr>
            <w:tcW w:w="915"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BG.22</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违法违规情节轻微，不予失信行为记录、行政处罚、不良行为记录的</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1.存在违法违规情形，但因情节轻微，不予认定严重失信行为记录、不予行政处罚或不予认定不良行为记录的</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《中华人民共和国招标投标法》《中华人民共和国招标投标法实施条例》《湖南省招标代理机构及从业人员监督管理办法》第23-33条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5" w:hRule="atLeast"/>
          <w:jc w:val="center"/>
        </w:trPr>
        <w:tc>
          <w:tcPr>
            <w:tcW w:w="711" w:type="dxa"/>
            <w:vMerge w:val="continue"/>
            <w:tcMar>
              <w:left w:w="108" w:type="dxa"/>
              <w:right w:w="108" w:type="dxa"/>
            </w:tcMar>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4"/>
                <w:szCs w:val="24"/>
              </w:rPr>
            </w:pPr>
          </w:p>
        </w:tc>
        <w:tc>
          <w:tcPr>
            <w:tcW w:w="915"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BG.23</w:t>
            </w:r>
          </w:p>
        </w:tc>
        <w:tc>
          <w:tcPr>
            <w:tcW w:w="165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招标代理项目组人员</w:t>
            </w:r>
          </w:p>
        </w:tc>
        <w:tc>
          <w:tcPr>
            <w:tcW w:w="8280"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1.非本项目成员办理招标代理业务的</w:t>
            </w:r>
          </w:p>
        </w:tc>
        <w:tc>
          <w:tcPr>
            <w:tcW w:w="2848" w:type="dxa"/>
            <w:tcMar>
              <w:left w:w="108" w:type="dxa"/>
              <w:right w:w="108" w:type="dxa"/>
            </w:tcMar>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40" w:lineRule="exact"/>
              <w:ind w:left="0" w:right="0"/>
              <w:jc w:val="both"/>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《湖南省招标代理机构及从业人员监督管理办法》第7-13条</w:t>
            </w:r>
          </w:p>
        </w:tc>
      </w:tr>
    </w:tbl>
    <w:p>
      <w:pPr>
        <w:spacing w:line="600" w:lineRule="exact"/>
        <w:ind w:right="3" w:rightChars="1"/>
        <w:jc w:val="both"/>
        <w:rPr>
          <w:rFonts w:hint="eastAsia" w:ascii="宋体" w:hAnsi="宋体" w:eastAsia="宋体" w:cs="宋体"/>
          <w:b/>
          <w:bCs w:val="0"/>
          <w:color w:val="auto"/>
          <w:kern w:val="0"/>
          <w:sz w:val="36"/>
          <w:szCs w:val="36"/>
        </w:rPr>
      </w:pPr>
      <w:r>
        <w:rPr>
          <w:rFonts w:ascii="黑体" w:hAnsi="黑体" w:eastAsia="黑体"/>
          <w:color w:val="auto"/>
        </w:rPr>
        <w:t>附</w:t>
      </w:r>
      <w:r>
        <w:rPr>
          <w:rFonts w:hint="eastAsia" w:ascii="黑体" w:hAnsi="黑体" w:eastAsia="黑体"/>
          <w:color w:val="auto"/>
        </w:rPr>
        <w:t>件</w:t>
      </w:r>
      <w:r>
        <w:rPr>
          <w:rFonts w:hint="eastAsia" w:ascii="黑体" w:hAnsi="黑体" w:eastAsia="黑体"/>
          <w:color w:val="auto"/>
          <w:lang w:val="en-US" w:eastAsia="zh-CN"/>
        </w:rPr>
        <w:t xml:space="preserve">2           </w:t>
      </w:r>
      <w:r>
        <w:rPr>
          <w:rFonts w:hint="eastAsia" w:ascii="宋体" w:hAnsi="宋体" w:eastAsia="宋体" w:cs="宋体"/>
          <w:b/>
          <w:bCs w:val="0"/>
          <w:color w:val="auto"/>
          <w:kern w:val="0"/>
          <w:sz w:val="36"/>
          <w:szCs w:val="36"/>
        </w:rPr>
        <w:t>湖南省房屋建筑和市政基础设施工程建设项目</w:t>
      </w:r>
    </w:p>
    <w:p>
      <w:pPr>
        <w:spacing w:line="600" w:lineRule="exact"/>
        <w:ind w:right="3" w:rightChars="1"/>
        <w:jc w:val="center"/>
        <w:rPr>
          <w:rFonts w:hint="eastAsia" w:ascii="宋体" w:hAnsi="宋体" w:eastAsia="宋体" w:cs="宋体"/>
          <w:b/>
          <w:bCs w:val="0"/>
          <w:color w:val="auto"/>
          <w:kern w:val="0"/>
          <w:sz w:val="36"/>
          <w:szCs w:val="36"/>
        </w:rPr>
      </w:pPr>
      <w:r>
        <w:rPr>
          <w:rFonts w:hint="eastAsia" w:ascii="宋体" w:hAnsi="宋体" w:eastAsia="宋体" w:cs="宋体"/>
          <w:b/>
          <w:bCs w:val="0"/>
          <w:color w:val="auto"/>
          <w:kern w:val="0"/>
          <w:sz w:val="36"/>
          <w:szCs w:val="36"/>
        </w:rPr>
        <w:t>招标代理机构</w:t>
      </w:r>
      <w:r>
        <w:rPr>
          <w:rFonts w:hint="eastAsia" w:ascii="宋体" w:hAnsi="宋体" w:eastAsia="宋体" w:cs="宋体"/>
          <w:b/>
          <w:bCs w:val="0"/>
          <w:color w:val="auto"/>
          <w:kern w:val="0"/>
          <w:sz w:val="36"/>
          <w:szCs w:val="36"/>
          <w:lang w:val="en-US" w:eastAsia="zh-CN"/>
        </w:rPr>
        <w:t>及项目负责人</w:t>
      </w:r>
      <w:r>
        <w:rPr>
          <w:rFonts w:hint="eastAsia" w:ascii="宋体" w:hAnsi="宋体" w:eastAsia="宋体" w:cs="宋体"/>
          <w:b/>
          <w:bCs w:val="0"/>
          <w:color w:val="auto"/>
          <w:kern w:val="0"/>
          <w:sz w:val="36"/>
          <w:szCs w:val="36"/>
        </w:rPr>
        <w:t>信用评价标准（基本信息）</w:t>
      </w:r>
    </w:p>
    <w:tbl>
      <w:tblPr>
        <w:tblStyle w:val="5"/>
        <w:tblW w:w="1462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81"/>
        <w:gridCol w:w="1183"/>
        <w:gridCol w:w="777"/>
        <w:gridCol w:w="1734"/>
        <w:gridCol w:w="7738"/>
        <w:gridCol w:w="231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96" w:hRule="atLeast"/>
          <w:tblHeader/>
          <w:jc w:val="center"/>
        </w:trPr>
        <w:tc>
          <w:tcPr>
            <w:tcW w:w="881"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序号</w:t>
            </w:r>
          </w:p>
        </w:tc>
        <w:tc>
          <w:tcPr>
            <w:tcW w:w="1183"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项目</w:t>
            </w:r>
          </w:p>
        </w:tc>
        <w:tc>
          <w:tcPr>
            <w:tcW w:w="777" w:type="dxa"/>
            <w:tcBorders>
              <w:top w:val="single" w:color="auto" w:sz="4" w:space="0"/>
            </w:tcBorders>
            <w:vAlign w:val="center"/>
          </w:tcPr>
          <w:p>
            <w:pP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分值</w:t>
            </w:r>
          </w:p>
        </w:tc>
        <w:tc>
          <w:tcPr>
            <w:tcW w:w="1734"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评价内容</w:t>
            </w:r>
          </w:p>
        </w:tc>
        <w:tc>
          <w:tcPr>
            <w:tcW w:w="7738"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评价标准</w:t>
            </w:r>
          </w:p>
        </w:tc>
        <w:tc>
          <w:tcPr>
            <w:tcW w:w="2310"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0" w:hRule="atLeast"/>
          <w:jc w:val="center"/>
        </w:trPr>
        <w:tc>
          <w:tcPr>
            <w:tcW w:w="881" w:type="dxa"/>
            <w:vMerge w:val="restart"/>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1</w:t>
            </w:r>
          </w:p>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基本</w:t>
            </w:r>
          </w:p>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信息</w:t>
            </w:r>
          </w:p>
          <w:p>
            <w:pPr>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rPr>
              <w:t>40分</w:t>
            </w:r>
          </w:p>
        </w:tc>
        <w:tc>
          <w:tcPr>
            <w:tcW w:w="1183" w:type="dxa"/>
            <w:vAlign w:val="center"/>
          </w:tcPr>
          <w:p>
            <w:pPr>
              <w:jc w:val="center"/>
              <w:rPr>
                <w:rFonts w:hint="eastAsia" w:ascii="仿宋" w:hAnsi="仿宋" w:eastAsia="仿宋" w:cs="仿宋"/>
                <w:b/>
                <w:color w:val="auto"/>
                <w:sz w:val="24"/>
                <w:szCs w:val="24"/>
              </w:rPr>
            </w:pPr>
            <w:r>
              <w:rPr>
                <w:rFonts w:hint="eastAsia" w:ascii="仿宋" w:hAnsi="仿宋" w:eastAsia="仿宋" w:cs="仿宋"/>
                <w:bCs/>
                <w:color w:val="auto"/>
                <w:sz w:val="24"/>
                <w:szCs w:val="24"/>
              </w:rPr>
              <w:t>经营业绩</w:t>
            </w:r>
          </w:p>
        </w:tc>
        <w:tc>
          <w:tcPr>
            <w:tcW w:w="777" w:type="dxa"/>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20分</w:t>
            </w:r>
          </w:p>
        </w:tc>
        <w:tc>
          <w:tcPr>
            <w:tcW w:w="173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累计招标代理项目宗数</w:t>
            </w:r>
          </w:p>
        </w:tc>
        <w:tc>
          <w:tcPr>
            <w:tcW w:w="7738"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C</w:t>
            </w:r>
            <w:r>
              <w:rPr>
                <w:rFonts w:hint="eastAsia" w:ascii="仿宋" w:hAnsi="仿宋" w:eastAsia="仿宋" w:cs="仿宋"/>
                <w:color w:val="auto"/>
                <w:sz w:val="24"/>
                <w:szCs w:val="24"/>
                <w:vertAlign w:val="subscript"/>
                <w:lang w:val="en-US" w:eastAsia="zh-CN"/>
              </w:rPr>
              <w:t>N</w:t>
            </w:r>
            <w:r>
              <w:rPr>
                <w:rFonts w:hint="eastAsia" w:ascii="仿宋" w:hAnsi="仿宋" w:eastAsia="仿宋" w:cs="仿宋"/>
                <w:color w:val="auto"/>
                <w:sz w:val="24"/>
                <w:szCs w:val="24"/>
                <w:vertAlign w:val="baseline"/>
                <w:lang w:val="en-US" w:eastAsia="zh-CN"/>
              </w:rPr>
              <w:t>=近1年内有房建市政项目招标代理业绩的企业或项目负责人总数；</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A=</w:t>
            </w:r>
            <w:r>
              <w:rPr>
                <w:rFonts w:hint="eastAsia" w:ascii="仿宋" w:hAnsi="仿宋" w:eastAsia="仿宋" w:cs="仿宋"/>
                <w:color w:val="auto"/>
                <w:sz w:val="24"/>
                <w:szCs w:val="24"/>
              </w:rPr>
              <w:t>近1年内</w:t>
            </w:r>
            <w:r>
              <w:rPr>
                <w:rFonts w:hint="eastAsia" w:ascii="仿宋" w:hAnsi="仿宋" w:eastAsia="仿宋" w:cs="仿宋"/>
                <w:color w:val="auto"/>
                <w:sz w:val="24"/>
                <w:szCs w:val="24"/>
                <w:lang w:val="en-US" w:eastAsia="zh-CN"/>
              </w:rPr>
              <w:t>企业或项目负责人</w:t>
            </w:r>
            <w:r>
              <w:rPr>
                <w:rFonts w:hint="eastAsia" w:ascii="仿宋" w:hAnsi="仿宋" w:eastAsia="仿宋" w:cs="仿宋"/>
                <w:color w:val="auto"/>
                <w:sz w:val="24"/>
                <w:szCs w:val="24"/>
              </w:rPr>
              <w:t>累计</w:t>
            </w:r>
            <w:r>
              <w:rPr>
                <w:rFonts w:hint="eastAsia" w:ascii="仿宋" w:hAnsi="仿宋" w:eastAsia="仿宋" w:cs="仿宋"/>
                <w:color w:val="auto"/>
                <w:sz w:val="24"/>
                <w:szCs w:val="24"/>
                <w:lang w:eastAsia="zh-CN"/>
              </w:rPr>
              <w:t>房建市政</w:t>
            </w:r>
            <w:r>
              <w:rPr>
                <w:rFonts w:hint="eastAsia" w:ascii="仿宋" w:hAnsi="仿宋" w:eastAsia="仿宋" w:cs="仿宋"/>
                <w:color w:val="auto"/>
                <w:sz w:val="24"/>
                <w:szCs w:val="24"/>
                <w:lang w:val="en-US" w:eastAsia="zh-CN"/>
              </w:rPr>
              <w:t>项目</w:t>
            </w:r>
            <w:r>
              <w:rPr>
                <w:rFonts w:hint="eastAsia" w:ascii="仿宋" w:hAnsi="仿宋" w:eastAsia="仿宋" w:cs="仿宋"/>
                <w:color w:val="auto"/>
                <w:sz w:val="24"/>
                <w:szCs w:val="24"/>
              </w:rPr>
              <w:t>招标代理宗数</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A</w:t>
            </w:r>
            <w:r>
              <w:rPr>
                <w:rFonts w:hint="eastAsia" w:ascii="仿宋" w:hAnsi="仿宋" w:eastAsia="仿宋" w:cs="仿宋"/>
                <w:color w:val="auto"/>
                <w:sz w:val="24"/>
                <w:szCs w:val="24"/>
                <w:vertAlign w:val="subscript"/>
                <w:lang w:val="en-US" w:eastAsia="zh-CN"/>
              </w:rPr>
              <w:t>1</w:t>
            </w:r>
            <w:r>
              <w:rPr>
                <w:rFonts w:hint="eastAsia" w:ascii="仿宋" w:hAnsi="仿宋" w:eastAsia="仿宋" w:cs="仿宋"/>
                <w:color w:val="auto"/>
                <w:sz w:val="24"/>
                <w:szCs w:val="24"/>
                <w:vertAlign w:val="baseline"/>
                <w:lang w:val="en-US" w:eastAsia="zh-CN"/>
              </w:rPr>
              <w:t>、A</w:t>
            </w:r>
            <w:r>
              <w:rPr>
                <w:rFonts w:hint="eastAsia" w:ascii="仿宋" w:hAnsi="仿宋" w:eastAsia="仿宋" w:cs="仿宋"/>
                <w:color w:val="auto"/>
                <w:sz w:val="24"/>
                <w:szCs w:val="24"/>
                <w:vertAlign w:val="subscript"/>
                <w:lang w:val="en-US" w:eastAsia="zh-CN"/>
              </w:rPr>
              <w:t>2</w:t>
            </w:r>
            <w:r>
              <w:rPr>
                <w:rFonts w:hint="default" w:ascii="Arial" w:hAnsi="Arial" w:eastAsia="仿宋" w:cs="Arial"/>
                <w:color w:val="auto"/>
                <w:sz w:val="24"/>
                <w:szCs w:val="24"/>
                <w:vertAlign w:val="subscript"/>
                <w:lang w:val="en-US" w:eastAsia="zh-CN"/>
              </w:rPr>
              <w:t>…</w:t>
            </w:r>
            <w:r>
              <w:rPr>
                <w:rFonts w:hint="eastAsia" w:ascii="仿宋" w:hAnsi="仿宋" w:eastAsia="仿宋" w:cs="仿宋"/>
                <w:color w:val="auto"/>
                <w:sz w:val="24"/>
                <w:szCs w:val="24"/>
                <w:vertAlign w:val="baseline"/>
                <w:lang w:val="en-US" w:eastAsia="zh-CN"/>
              </w:rPr>
              <w:t>A</w:t>
            </w:r>
            <w:r>
              <w:rPr>
                <w:rFonts w:hint="eastAsia" w:ascii="仿宋" w:hAnsi="仿宋" w:eastAsia="仿宋" w:cs="仿宋"/>
                <w:color w:val="auto"/>
                <w:sz w:val="24"/>
                <w:szCs w:val="24"/>
                <w:vertAlign w:val="subscript"/>
                <w:lang w:val="en-US" w:eastAsia="zh-CN"/>
              </w:rPr>
              <w:t>n</w:t>
            </w:r>
            <w:r>
              <w:rPr>
                <w:rFonts w:hint="eastAsia" w:ascii="仿宋" w:hAnsi="仿宋" w:eastAsia="仿宋" w:cs="仿宋"/>
                <w:color w:val="auto"/>
                <w:sz w:val="24"/>
                <w:szCs w:val="24"/>
                <w:vertAlign w:val="baseline"/>
                <w:lang w:val="en-US" w:eastAsia="zh-CN"/>
              </w:rPr>
              <w:t>分别为各企业或项目负责人</w:t>
            </w:r>
            <w:r>
              <w:rPr>
                <w:rFonts w:hint="eastAsia" w:ascii="仿宋" w:hAnsi="仿宋" w:eastAsia="仿宋" w:cs="仿宋"/>
                <w:color w:val="auto"/>
                <w:sz w:val="24"/>
                <w:szCs w:val="24"/>
              </w:rPr>
              <w:t>累计</w:t>
            </w:r>
            <w:r>
              <w:rPr>
                <w:rFonts w:hint="eastAsia" w:ascii="仿宋" w:hAnsi="仿宋" w:eastAsia="仿宋" w:cs="仿宋"/>
                <w:color w:val="auto"/>
                <w:sz w:val="24"/>
                <w:szCs w:val="24"/>
                <w:lang w:eastAsia="zh-CN"/>
              </w:rPr>
              <w:t>房建市政项目</w:t>
            </w:r>
            <w:r>
              <w:rPr>
                <w:rFonts w:hint="eastAsia" w:ascii="仿宋" w:hAnsi="仿宋" w:eastAsia="仿宋" w:cs="仿宋"/>
                <w:color w:val="auto"/>
                <w:sz w:val="24"/>
                <w:szCs w:val="24"/>
              </w:rPr>
              <w:t>招标代理宗数</w:t>
            </w:r>
            <w:r>
              <w:rPr>
                <w:rFonts w:hint="eastAsia" w:ascii="仿宋" w:hAnsi="仿宋" w:eastAsia="仿宋" w:cs="仿宋"/>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lang w:val="en-US" w:eastAsia="zh-CN"/>
              </w:rPr>
              <w:t>A</w:t>
            </w:r>
            <w:r>
              <w:rPr>
                <w:rFonts w:hint="eastAsia" w:ascii="仿宋" w:hAnsi="仿宋" w:eastAsia="仿宋" w:cs="仿宋"/>
                <w:color w:val="auto"/>
                <w:sz w:val="24"/>
                <w:szCs w:val="24"/>
                <w:vertAlign w:val="subscript"/>
                <w:lang w:val="en-US" w:eastAsia="zh-CN"/>
              </w:rPr>
              <w:t>P</w:t>
            </w:r>
            <w:r>
              <w:rPr>
                <w:rFonts w:hint="eastAsia" w:ascii="仿宋" w:hAnsi="仿宋" w:eastAsia="仿宋" w:cs="仿宋"/>
                <w:color w:val="auto"/>
                <w:sz w:val="24"/>
                <w:szCs w:val="24"/>
                <w:vertAlign w:val="baseline"/>
                <w:lang w:val="en-US" w:eastAsia="zh-CN"/>
              </w:rPr>
              <w:t>=（</w:t>
            </w:r>
            <w:r>
              <w:rPr>
                <w:rFonts w:hint="eastAsia" w:ascii="仿宋" w:hAnsi="仿宋" w:eastAsia="仿宋" w:cs="仿宋"/>
                <w:color w:val="auto"/>
                <w:sz w:val="24"/>
                <w:szCs w:val="24"/>
                <w:lang w:val="en-US" w:eastAsia="zh-CN"/>
              </w:rPr>
              <w:t>A</w:t>
            </w:r>
            <w:r>
              <w:rPr>
                <w:rFonts w:hint="eastAsia" w:ascii="仿宋" w:hAnsi="仿宋" w:eastAsia="仿宋" w:cs="仿宋"/>
                <w:color w:val="auto"/>
                <w:sz w:val="24"/>
                <w:szCs w:val="24"/>
                <w:vertAlign w:val="subscript"/>
                <w:lang w:val="en-US" w:eastAsia="zh-CN"/>
              </w:rPr>
              <w:t>1</w:t>
            </w:r>
            <w:r>
              <w:rPr>
                <w:rFonts w:hint="eastAsia" w:ascii="仿宋" w:hAnsi="仿宋" w:eastAsia="仿宋" w:cs="仿宋"/>
                <w:color w:val="auto"/>
                <w:sz w:val="24"/>
                <w:szCs w:val="24"/>
                <w:vertAlign w:val="baseline"/>
                <w:lang w:val="en-US" w:eastAsia="zh-CN"/>
              </w:rPr>
              <w:t>+A</w:t>
            </w:r>
            <w:r>
              <w:rPr>
                <w:rFonts w:hint="eastAsia" w:ascii="仿宋" w:hAnsi="仿宋" w:eastAsia="仿宋" w:cs="仿宋"/>
                <w:color w:val="auto"/>
                <w:sz w:val="24"/>
                <w:szCs w:val="24"/>
                <w:vertAlign w:val="subscript"/>
                <w:lang w:val="en-US" w:eastAsia="zh-CN"/>
              </w:rPr>
              <w:t>2</w:t>
            </w:r>
            <w:r>
              <w:rPr>
                <w:rFonts w:hint="default" w:ascii="Arial" w:hAnsi="Arial" w:eastAsia="仿宋" w:cs="Arial"/>
                <w:color w:val="auto"/>
                <w:sz w:val="24"/>
                <w:szCs w:val="24"/>
                <w:vertAlign w:val="subscript"/>
                <w:lang w:val="en-US" w:eastAsia="zh-CN"/>
              </w:rPr>
              <w:t>…</w:t>
            </w:r>
            <w:r>
              <w:rPr>
                <w:rFonts w:hint="eastAsia" w:ascii="仿宋" w:hAnsi="仿宋" w:eastAsia="仿宋" w:cs="仿宋"/>
                <w:color w:val="auto"/>
                <w:sz w:val="24"/>
                <w:szCs w:val="24"/>
                <w:vertAlign w:val="baseline"/>
                <w:lang w:val="en-US" w:eastAsia="zh-CN"/>
              </w:rPr>
              <w:t>+A</w:t>
            </w:r>
            <w:r>
              <w:rPr>
                <w:rFonts w:hint="eastAsia" w:ascii="仿宋" w:hAnsi="仿宋" w:eastAsia="仿宋" w:cs="仿宋"/>
                <w:color w:val="auto"/>
                <w:sz w:val="24"/>
                <w:szCs w:val="24"/>
                <w:vertAlign w:val="subscript"/>
                <w:lang w:val="en-US" w:eastAsia="zh-CN"/>
              </w:rPr>
              <w:t>n</w:t>
            </w:r>
            <w:r>
              <w:rPr>
                <w:rFonts w:hint="eastAsia" w:ascii="仿宋" w:hAnsi="仿宋" w:eastAsia="仿宋" w:cs="仿宋"/>
                <w:color w:val="auto"/>
                <w:sz w:val="24"/>
                <w:szCs w:val="24"/>
                <w:vertAlign w:val="baseline"/>
                <w:lang w:val="en-US" w:eastAsia="zh-CN"/>
              </w:rPr>
              <w:t>）/C</w:t>
            </w:r>
            <w:r>
              <w:rPr>
                <w:rFonts w:hint="eastAsia" w:ascii="仿宋" w:hAnsi="仿宋" w:eastAsia="仿宋" w:cs="仿宋"/>
                <w:color w:val="auto"/>
                <w:sz w:val="24"/>
                <w:szCs w:val="24"/>
                <w:vertAlign w:val="subscript"/>
                <w:lang w:val="en-US" w:eastAsia="zh-CN"/>
              </w:rPr>
              <w:t>N</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当A</w:t>
            </w:r>
            <w:r>
              <w:rPr>
                <w:rFonts w:hint="eastAsia" w:ascii="仿宋" w:hAnsi="仿宋" w:eastAsia="仿宋" w:cs="仿宋"/>
                <w:color w:val="auto"/>
                <w:sz w:val="24"/>
                <w:szCs w:val="24"/>
                <w:vertAlign w:val="subscript"/>
                <w:lang w:val="en-US" w:eastAsia="zh-CN"/>
              </w:rPr>
              <w:t>P</w:t>
            </w:r>
            <w:r>
              <w:rPr>
                <w:rFonts w:hint="eastAsia" w:ascii="仿宋" w:hAnsi="仿宋" w:eastAsia="仿宋" w:cs="仿宋"/>
                <w:color w:val="auto"/>
                <w:sz w:val="24"/>
                <w:szCs w:val="24"/>
                <w:vertAlign w:val="baseline"/>
                <w:lang w:val="en-US" w:eastAsia="zh-CN"/>
              </w:rPr>
              <w:t>不为整数时，采用向下取整进行调整。</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业绩计分P=20-16</w:t>
            </w:r>
            <w:r>
              <w:rPr>
                <w:rFonts w:hint="eastAsia" w:ascii="仿宋" w:hAnsi="仿宋" w:eastAsia="仿宋" w:cs="仿宋"/>
                <w:color w:val="auto"/>
                <w:sz w:val="24"/>
                <w:szCs w:val="24"/>
                <w:lang w:val="en-US" w:eastAsia="zh-CN"/>
              </w:rPr>
              <w:t>A</w:t>
            </w:r>
            <w:r>
              <w:rPr>
                <w:rFonts w:hint="eastAsia" w:ascii="仿宋" w:hAnsi="仿宋" w:eastAsia="仿宋" w:cs="仿宋"/>
                <w:color w:val="auto"/>
                <w:sz w:val="24"/>
                <w:szCs w:val="24"/>
                <w:vertAlign w:val="subscript"/>
                <w:lang w:val="en-US" w:eastAsia="zh-CN"/>
              </w:rPr>
              <w:t>P</w:t>
            </w:r>
            <w:r>
              <w:rPr>
                <w:rFonts w:hint="eastAsia" w:ascii="仿宋" w:hAnsi="仿宋" w:eastAsia="仿宋" w:cs="仿宋"/>
                <w:color w:val="auto"/>
                <w:sz w:val="24"/>
                <w:szCs w:val="24"/>
                <w:vertAlign w:val="baseline"/>
                <w:lang w:val="en-US" w:eastAsia="zh-CN"/>
              </w:rPr>
              <w:t>/（</w:t>
            </w:r>
            <w:r>
              <w:rPr>
                <w:rFonts w:hint="eastAsia" w:ascii="仿宋" w:hAnsi="仿宋" w:eastAsia="仿宋" w:cs="仿宋"/>
                <w:color w:val="auto"/>
                <w:sz w:val="24"/>
                <w:szCs w:val="24"/>
                <w:lang w:val="en-US" w:eastAsia="zh-CN"/>
              </w:rPr>
              <w:t>A+A</w:t>
            </w:r>
            <w:r>
              <w:rPr>
                <w:rFonts w:hint="eastAsia" w:ascii="仿宋" w:hAnsi="仿宋" w:eastAsia="仿宋" w:cs="仿宋"/>
                <w:color w:val="auto"/>
                <w:sz w:val="24"/>
                <w:szCs w:val="24"/>
                <w:vertAlign w:val="subscript"/>
                <w:lang w:val="en-US" w:eastAsia="zh-CN"/>
              </w:rPr>
              <w:t>P</w:t>
            </w:r>
            <w:r>
              <w:rPr>
                <w:rFonts w:hint="eastAsia" w:ascii="仿宋" w:hAnsi="仿宋" w:eastAsia="仿宋" w:cs="仿宋"/>
                <w:color w:val="auto"/>
                <w:sz w:val="24"/>
                <w:szCs w:val="24"/>
                <w:vertAlign w:val="baseline"/>
                <w:lang w:val="en-US" w:eastAsia="zh-CN"/>
              </w:rPr>
              <w:t>）；</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仿宋" w:hAnsi="仿宋" w:eastAsia="仿宋" w:cs="仿宋"/>
                <w:color w:val="auto"/>
                <w:sz w:val="24"/>
                <w:szCs w:val="24"/>
                <w:highlight w:val="yellow"/>
                <w:lang w:val="en-US" w:eastAsia="zh-CN"/>
              </w:rPr>
            </w:pPr>
            <w:r>
              <w:rPr>
                <w:rFonts w:hint="eastAsia" w:ascii="仿宋" w:hAnsi="仿宋" w:eastAsia="仿宋" w:cs="仿宋"/>
                <w:color w:val="auto"/>
                <w:sz w:val="24"/>
                <w:szCs w:val="24"/>
                <w:vertAlign w:val="baseline"/>
                <w:lang w:val="en-US" w:eastAsia="zh-CN"/>
              </w:rPr>
              <w:t>近1年无房建市政项目招标代理业绩的企业或项目负责人不计分。</w:t>
            </w:r>
          </w:p>
        </w:tc>
        <w:tc>
          <w:tcPr>
            <w:tcW w:w="2310" w:type="dxa"/>
            <w:vAlign w:val="center"/>
          </w:tcPr>
          <w:p>
            <w:pPr>
              <w:widowControl/>
              <w:jc w:val="left"/>
              <w:textAlignment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val="en-US" w:eastAsia="zh-CN"/>
              </w:rPr>
              <w:t>以</w:t>
            </w:r>
            <w:r>
              <w:rPr>
                <w:rFonts w:hint="eastAsia" w:ascii="仿宋" w:hAnsi="仿宋" w:eastAsia="仿宋" w:cs="仿宋"/>
                <w:color w:val="auto"/>
                <w:sz w:val="24"/>
                <w:szCs w:val="24"/>
              </w:rPr>
              <w:t>中标通知书</w:t>
            </w:r>
            <w:r>
              <w:rPr>
                <w:rFonts w:hint="eastAsia" w:ascii="仿宋" w:hAnsi="仿宋" w:eastAsia="仿宋" w:cs="仿宋"/>
                <w:color w:val="auto"/>
                <w:sz w:val="24"/>
                <w:szCs w:val="24"/>
                <w:lang w:val="en-US" w:eastAsia="zh-CN"/>
              </w:rPr>
              <w:t>核发后，平台采集</w:t>
            </w:r>
            <w:r>
              <w:rPr>
                <w:rFonts w:hint="eastAsia" w:ascii="仿宋" w:hAnsi="仿宋" w:eastAsia="仿宋" w:cs="仿宋"/>
                <w:color w:val="auto"/>
                <w:sz w:val="24"/>
                <w:szCs w:val="24"/>
              </w:rPr>
              <w:t>进入信用评价</w:t>
            </w:r>
            <w:r>
              <w:rPr>
                <w:rFonts w:hint="eastAsia" w:ascii="仿宋" w:hAnsi="仿宋" w:eastAsia="仿宋" w:cs="仿宋"/>
                <w:color w:val="auto"/>
                <w:sz w:val="24"/>
                <w:szCs w:val="24"/>
                <w:lang w:val="en-US" w:eastAsia="zh-CN"/>
              </w:rPr>
              <w:t>计分之日</w:t>
            </w:r>
            <w:r>
              <w:rPr>
                <w:rFonts w:hint="eastAsia" w:ascii="仿宋" w:hAnsi="仿宋" w:eastAsia="仿宋" w:cs="仿宋"/>
                <w:color w:val="auto"/>
                <w:sz w:val="24"/>
                <w:szCs w:val="24"/>
              </w:rPr>
              <w:t>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351" w:hRule="atLeast"/>
          <w:jc w:val="center"/>
        </w:trPr>
        <w:tc>
          <w:tcPr>
            <w:tcW w:w="881" w:type="dxa"/>
            <w:vMerge w:val="continue"/>
            <w:vAlign w:val="center"/>
          </w:tcPr>
          <w:p>
            <w:pPr>
              <w:jc w:val="center"/>
              <w:rPr>
                <w:rFonts w:asciiTheme="minorEastAsia" w:hAnsiTheme="minorEastAsia" w:eastAsiaTheme="minorEastAsia"/>
                <w:color w:val="auto"/>
                <w:sz w:val="24"/>
                <w:szCs w:val="24"/>
              </w:rPr>
            </w:pPr>
          </w:p>
        </w:tc>
        <w:tc>
          <w:tcPr>
            <w:tcW w:w="1183"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考评</w:t>
            </w:r>
          </w:p>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合格率</w:t>
            </w:r>
          </w:p>
        </w:tc>
        <w:tc>
          <w:tcPr>
            <w:tcW w:w="777" w:type="dxa"/>
            <w:vAlign w:val="center"/>
          </w:tcPr>
          <w:p>
            <w:pPr>
              <w:jc w:val="center"/>
              <w:rPr>
                <w:rFonts w:hint="default" w:ascii="仿宋" w:hAnsi="仿宋" w:eastAsia="仿宋" w:cs="仿宋"/>
                <w:color w:val="auto"/>
                <w:sz w:val="24"/>
                <w:szCs w:val="24"/>
                <w:lang w:val="en-US"/>
              </w:rPr>
            </w:pPr>
            <w:r>
              <w:rPr>
                <w:rFonts w:hint="eastAsia" w:ascii="仿宋" w:hAnsi="仿宋" w:eastAsia="仿宋" w:cs="仿宋"/>
                <w:color w:val="auto"/>
                <w:sz w:val="24"/>
                <w:szCs w:val="24"/>
                <w:lang w:val="en-US" w:eastAsia="zh-CN"/>
              </w:rPr>
              <w:t>12分</w:t>
            </w:r>
          </w:p>
        </w:tc>
        <w:tc>
          <w:tcPr>
            <w:tcW w:w="1734"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规范化考评</w:t>
            </w:r>
          </w:p>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公告</w:t>
            </w:r>
          </w:p>
        </w:tc>
        <w:tc>
          <w:tcPr>
            <w:tcW w:w="7738"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考评合格率</w:t>
            </w:r>
            <w:r>
              <w:rPr>
                <w:rFonts w:hint="eastAsia" w:ascii="宋体" w:hAnsi="宋体" w:eastAsia="宋体" w:cs="宋体"/>
                <w:color w:val="auto"/>
                <w:sz w:val="24"/>
                <w:szCs w:val="24"/>
                <w:lang w:val="en-US" w:eastAsia="zh-CN"/>
              </w:rPr>
              <w:t>≧</w:t>
            </w:r>
            <w:r>
              <w:rPr>
                <w:rFonts w:hint="eastAsia" w:ascii="仿宋" w:hAnsi="仿宋" w:eastAsia="仿宋" w:cs="仿宋"/>
                <w:color w:val="auto"/>
                <w:sz w:val="24"/>
                <w:szCs w:val="24"/>
                <w:lang w:val="en-US" w:eastAsia="zh-CN"/>
              </w:rPr>
              <w:t>98%的，计12分；98%</w:t>
            </w:r>
            <w:r>
              <w:rPr>
                <w:rFonts w:hint="eastAsia" w:ascii="仿宋" w:hAnsi="仿宋" w:eastAsia="仿宋" w:cs="仿宋"/>
                <w:b/>
                <w:bCs/>
                <w:color w:val="auto"/>
                <w:sz w:val="24"/>
                <w:szCs w:val="24"/>
                <w:lang w:val="en-US" w:eastAsia="zh-CN"/>
              </w:rPr>
              <w:t>&gt;</w:t>
            </w:r>
            <w:r>
              <w:rPr>
                <w:rFonts w:hint="eastAsia" w:ascii="仿宋" w:hAnsi="仿宋" w:eastAsia="仿宋" w:cs="仿宋"/>
                <w:color w:val="auto"/>
                <w:sz w:val="24"/>
                <w:szCs w:val="24"/>
                <w:lang w:val="en-US" w:eastAsia="zh-CN"/>
              </w:rPr>
              <w:t>考评合格率</w:t>
            </w:r>
            <w:r>
              <w:rPr>
                <w:rFonts w:hint="eastAsia" w:ascii="宋体" w:hAnsi="宋体" w:eastAsia="宋体" w:cs="宋体"/>
                <w:color w:val="auto"/>
                <w:sz w:val="24"/>
                <w:szCs w:val="24"/>
                <w:lang w:val="en-US" w:eastAsia="zh-CN"/>
              </w:rPr>
              <w:t>≧</w:t>
            </w:r>
            <w:r>
              <w:rPr>
                <w:rFonts w:hint="eastAsia" w:ascii="仿宋" w:hAnsi="仿宋" w:eastAsia="仿宋" w:cs="仿宋"/>
                <w:color w:val="auto"/>
                <w:sz w:val="24"/>
                <w:szCs w:val="24"/>
                <w:lang w:val="en-US" w:eastAsia="zh-CN"/>
              </w:rPr>
              <w:t>96%的，计11分；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96%</w:t>
            </w:r>
            <w:r>
              <w:rPr>
                <w:rFonts w:hint="eastAsia" w:ascii="仿宋" w:hAnsi="仿宋" w:eastAsia="仿宋" w:cs="仿宋"/>
                <w:b/>
                <w:bCs/>
                <w:color w:val="auto"/>
                <w:sz w:val="24"/>
                <w:szCs w:val="24"/>
                <w:lang w:val="en-US" w:eastAsia="zh-CN"/>
              </w:rPr>
              <w:t>&gt;</w:t>
            </w:r>
            <w:r>
              <w:rPr>
                <w:rFonts w:hint="eastAsia" w:ascii="仿宋" w:hAnsi="仿宋" w:eastAsia="仿宋" w:cs="仿宋"/>
                <w:color w:val="auto"/>
                <w:sz w:val="24"/>
                <w:szCs w:val="24"/>
                <w:lang w:val="en-US" w:eastAsia="zh-CN"/>
              </w:rPr>
              <w:t>考评合格率</w:t>
            </w:r>
            <w:r>
              <w:rPr>
                <w:rFonts w:hint="eastAsia" w:ascii="宋体" w:hAnsi="宋体" w:eastAsia="宋体" w:cs="宋体"/>
                <w:color w:val="auto"/>
                <w:sz w:val="24"/>
                <w:szCs w:val="24"/>
                <w:lang w:val="en-US" w:eastAsia="zh-CN"/>
              </w:rPr>
              <w:t>≧</w:t>
            </w:r>
            <w:r>
              <w:rPr>
                <w:rFonts w:hint="eastAsia" w:ascii="仿宋" w:hAnsi="仿宋" w:eastAsia="仿宋" w:cs="仿宋"/>
                <w:color w:val="auto"/>
                <w:sz w:val="24"/>
                <w:szCs w:val="24"/>
                <w:lang w:val="en-US" w:eastAsia="zh-CN"/>
              </w:rPr>
              <w:t>94%的，计10分；</w:t>
            </w:r>
            <w:r>
              <w:rPr>
                <w:rFonts w:hint="default" w:ascii="Arial" w:hAnsi="Arial" w:eastAsia="仿宋" w:cs="Arial"/>
                <w:color w:val="auto"/>
                <w:sz w:val="24"/>
                <w:szCs w:val="24"/>
                <w:lang w:val="en-US" w:eastAsia="zh-CN"/>
              </w:rPr>
              <w:t>…</w:t>
            </w:r>
            <w:r>
              <w:rPr>
                <w:rFonts w:hint="eastAsia" w:ascii="仿宋" w:hAnsi="仿宋" w:eastAsia="仿宋" w:cs="仿宋"/>
                <w:color w:val="auto"/>
                <w:sz w:val="24"/>
                <w:szCs w:val="24"/>
                <w:lang w:val="en-US" w:eastAsia="zh-CN"/>
              </w:rPr>
              <w:t>依次类推；考评合格率&lt;76%的或近1年无</w:t>
            </w:r>
            <w:r>
              <w:rPr>
                <w:rFonts w:hint="eastAsia" w:ascii="仿宋" w:hAnsi="仿宋" w:eastAsia="仿宋" w:cs="仿宋"/>
                <w:color w:val="auto"/>
                <w:sz w:val="24"/>
                <w:szCs w:val="24"/>
                <w:vertAlign w:val="baseline"/>
                <w:lang w:val="en-US" w:eastAsia="zh-CN"/>
              </w:rPr>
              <w:t>房建市政项目招标代理</w:t>
            </w:r>
            <w:r>
              <w:rPr>
                <w:rFonts w:hint="eastAsia" w:ascii="仿宋" w:hAnsi="仿宋" w:eastAsia="仿宋" w:cs="仿宋"/>
                <w:color w:val="auto"/>
                <w:sz w:val="24"/>
                <w:szCs w:val="24"/>
                <w:lang w:val="en-US" w:eastAsia="zh-CN"/>
              </w:rPr>
              <w:t>业绩的企业或项目负责人不计分。</w:t>
            </w:r>
          </w:p>
        </w:tc>
        <w:tc>
          <w:tcPr>
            <w:tcW w:w="2310" w:type="dxa"/>
            <w:vAlign w:val="center"/>
          </w:tcPr>
          <w:p>
            <w:pPr>
              <w:widowControl/>
              <w:jc w:val="left"/>
              <w:textAlignment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90天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规范化考评公告发布后</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平台采集</w:t>
            </w:r>
            <w:r>
              <w:rPr>
                <w:rFonts w:hint="eastAsia" w:ascii="仿宋" w:hAnsi="仿宋" w:eastAsia="仿宋" w:cs="仿宋"/>
                <w:color w:val="auto"/>
                <w:sz w:val="24"/>
                <w:szCs w:val="24"/>
              </w:rPr>
              <w:t>进入信用评价</w:t>
            </w:r>
            <w:r>
              <w:rPr>
                <w:rFonts w:hint="eastAsia" w:ascii="仿宋" w:hAnsi="仿宋" w:eastAsia="仿宋" w:cs="仿宋"/>
                <w:color w:val="auto"/>
                <w:sz w:val="24"/>
                <w:szCs w:val="24"/>
                <w:lang w:val="en-US" w:eastAsia="zh-CN"/>
              </w:rPr>
              <w:t>计分之日</w:t>
            </w:r>
            <w:r>
              <w:rPr>
                <w:rFonts w:hint="eastAsia" w:ascii="仿宋" w:hAnsi="仿宋" w:eastAsia="仿宋" w:cs="仿宋"/>
                <w:color w:val="auto"/>
                <w:sz w:val="24"/>
                <w:szCs w:val="24"/>
              </w:rPr>
              <w:t>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76" w:hRule="atLeast"/>
          <w:jc w:val="center"/>
        </w:trPr>
        <w:tc>
          <w:tcPr>
            <w:tcW w:w="881" w:type="dxa"/>
            <w:vMerge w:val="continue"/>
            <w:vAlign w:val="center"/>
          </w:tcPr>
          <w:p>
            <w:pPr>
              <w:jc w:val="center"/>
              <w:rPr>
                <w:rFonts w:asciiTheme="minorEastAsia" w:hAnsiTheme="minorEastAsia" w:eastAsiaTheme="minorEastAsia"/>
                <w:color w:val="auto"/>
                <w:sz w:val="24"/>
                <w:szCs w:val="24"/>
              </w:rPr>
            </w:pPr>
          </w:p>
        </w:tc>
        <w:tc>
          <w:tcPr>
            <w:tcW w:w="118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纳税信用</w:t>
            </w:r>
          </w:p>
        </w:tc>
        <w:tc>
          <w:tcPr>
            <w:tcW w:w="777"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分</w:t>
            </w:r>
          </w:p>
        </w:tc>
        <w:tc>
          <w:tcPr>
            <w:tcW w:w="173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企业纳税信用等级</w:t>
            </w:r>
          </w:p>
        </w:tc>
        <w:tc>
          <w:tcPr>
            <w:tcW w:w="7738"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招标代理机构的纳税信用等级以企业纳税信用评价信息表为准：</w:t>
            </w:r>
          </w:p>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A级纳税信用计4分；B级纳税信用计3分；M级纳税信用计2分；C级纳税信用计1分；D级纳税信用计0分。</w:t>
            </w:r>
          </w:p>
        </w:tc>
        <w:tc>
          <w:tcPr>
            <w:tcW w:w="2310" w:type="dxa"/>
            <w:vAlign w:val="center"/>
          </w:tcPr>
          <w:p>
            <w:pPr>
              <w:widowControl/>
              <w:jc w:val="left"/>
              <w:textAlignment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企业注册地税务机关发布</w:t>
            </w:r>
            <w:r>
              <w:rPr>
                <w:rFonts w:hint="eastAsia" w:ascii="仿宋" w:hAnsi="仿宋" w:eastAsia="仿宋" w:cs="仿宋"/>
                <w:color w:val="auto"/>
                <w:sz w:val="24"/>
                <w:szCs w:val="24"/>
                <w:lang w:val="en-US" w:eastAsia="zh-CN"/>
              </w:rPr>
              <w:t>相关信息后，采集进入</w:t>
            </w:r>
            <w:r>
              <w:rPr>
                <w:rFonts w:hint="eastAsia" w:ascii="仿宋" w:hAnsi="仿宋" w:eastAsia="仿宋" w:cs="仿宋"/>
                <w:color w:val="auto"/>
                <w:sz w:val="24"/>
                <w:szCs w:val="24"/>
              </w:rPr>
              <w:t>信用评价</w:t>
            </w:r>
            <w:r>
              <w:rPr>
                <w:rFonts w:hint="eastAsia" w:ascii="仿宋" w:hAnsi="仿宋" w:eastAsia="仿宋" w:cs="仿宋"/>
                <w:color w:val="auto"/>
                <w:sz w:val="24"/>
                <w:szCs w:val="24"/>
                <w:lang w:val="en-US" w:eastAsia="zh-CN"/>
              </w:rPr>
              <w:t>计分</w:t>
            </w:r>
            <w:r>
              <w:rPr>
                <w:rFonts w:hint="eastAsia" w:ascii="仿宋" w:hAnsi="仿宋" w:eastAsia="仿宋" w:cs="仿宋"/>
                <w:color w:val="auto"/>
                <w:sz w:val="24"/>
                <w:szCs w:val="24"/>
              </w:rPr>
              <w:t>之日起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51" w:hRule="atLeast"/>
          <w:jc w:val="center"/>
        </w:trPr>
        <w:tc>
          <w:tcPr>
            <w:tcW w:w="881" w:type="dxa"/>
            <w:vMerge w:val="continue"/>
            <w:vAlign w:val="center"/>
          </w:tcPr>
          <w:p>
            <w:pPr>
              <w:jc w:val="center"/>
              <w:rPr>
                <w:rFonts w:asciiTheme="minorEastAsia" w:hAnsiTheme="minorEastAsia" w:eastAsiaTheme="minorEastAsia"/>
                <w:color w:val="auto"/>
                <w:sz w:val="24"/>
                <w:szCs w:val="24"/>
              </w:rPr>
            </w:pPr>
          </w:p>
        </w:tc>
        <w:tc>
          <w:tcPr>
            <w:tcW w:w="1183"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资信评定</w:t>
            </w:r>
          </w:p>
        </w:tc>
        <w:tc>
          <w:tcPr>
            <w:tcW w:w="777"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4</w:t>
            </w:r>
            <w:r>
              <w:rPr>
                <w:rFonts w:hint="eastAsia" w:ascii="仿宋" w:hAnsi="仿宋" w:eastAsia="仿宋" w:cs="仿宋"/>
                <w:color w:val="auto"/>
                <w:sz w:val="24"/>
                <w:szCs w:val="24"/>
                <w:lang w:val="en-US" w:eastAsia="zh-CN"/>
              </w:rPr>
              <w:t>分</w:t>
            </w:r>
          </w:p>
        </w:tc>
        <w:tc>
          <w:tcPr>
            <w:tcW w:w="173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资信等级</w:t>
            </w:r>
          </w:p>
        </w:tc>
        <w:tc>
          <w:tcPr>
            <w:tcW w:w="7738"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省建设工程招投标行业协会组织的招标代理机构资信等级评定，按照评定等级计分：AAA级计4分、AA级计3分、A级计1分，B级不计分。</w:t>
            </w:r>
          </w:p>
        </w:tc>
        <w:tc>
          <w:tcPr>
            <w:tcW w:w="2310" w:type="dxa"/>
            <w:vAlign w:val="center"/>
          </w:tcPr>
          <w:p>
            <w:pPr>
              <w:widowControl/>
              <w:jc w:val="left"/>
              <w:textAlignment w:val="center"/>
              <w:rPr>
                <w:rFonts w:hint="eastAsia" w:ascii="仿宋" w:hAnsi="仿宋" w:eastAsia="仿宋" w:cs="仿宋"/>
                <w:color w:val="auto"/>
                <w:sz w:val="24"/>
                <w:szCs w:val="24"/>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val="en-US" w:eastAsia="zh-CN"/>
              </w:rPr>
              <w:t>相关信息发布后，采集进入</w:t>
            </w:r>
            <w:r>
              <w:rPr>
                <w:rFonts w:hint="eastAsia" w:ascii="仿宋" w:hAnsi="仿宋" w:eastAsia="仿宋" w:cs="仿宋"/>
                <w:color w:val="auto"/>
                <w:sz w:val="24"/>
                <w:szCs w:val="24"/>
              </w:rPr>
              <w:t>信用评价</w:t>
            </w:r>
            <w:r>
              <w:rPr>
                <w:rFonts w:hint="eastAsia" w:ascii="仿宋" w:hAnsi="仿宋" w:eastAsia="仿宋" w:cs="仿宋"/>
                <w:color w:val="auto"/>
                <w:sz w:val="24"/>
                <w:szCs w:val="24"/>
                <w:lang w:val="en-US" w:eastAsia="zh-CN"/>
              </w:rPr>
              <w:t>计分</w:t>
            </w:r>
            <w:r>
              <w:rPr>
                <w:rFonts w:hint="eastAsia" w:ascii="仿宋" w:hAnsi="仿宋" w:eastAsia="仿宋" w:cs="仿宋"/>
                <w:color w:val="auto"/>
                <w:sz w:val="24"/>
                <w:szCs w:val="24"/>
              </w:rPr>
              <w:t>之日起</w:t>
            </w:r>
            <w:r>
              <w:rPr>
                <w:rFonts w:hint="eastAsia" w:ascii="仿宋" w:hAnsi="仿宋" w:eastAsia="仿宋" w:cs="仿宋"/>
                <w:color w:val="auto"/>
                <w:sz w:val="24"/>
                <w:szCs w:val="24"/>
                <w:lang w:eastAsia="zh-CN"/>
              </w:rPr>
              <w:t>。</w:t>
            </w:r>
          </w:p>
        </w:tc>
      </w:tr>
    </w:tbl>
    <w:p>
      <w:pPr>
        <w:spacing w:line="600" w:lineRule="exact"/>
        <w:ind w:right="3" w:rightChars="1"/>
        <w:jc w:val="center"/>
        <w:rPr>
          <w:rFonts w:hint="eastAsia" w:ascii="宋体" w:hAnsi="宋体" w:eastAsia="宋体" w:cs="宋体"/>
          <w:b/>
          <w:bCs w:val="0"/>
          <w:color w:val="auto"/>
          <w:kern w:val="0"/>
          <w:sz w:val="36"/>
          <w:szCs w:val="36"/>
        </w:rPr>
      </w:pPr>
      <w:r>
        <w:rPr>
          <w:rFonts w:hint="eastAsia" w:ascii="宋体" w:hAnsi="宋体" w:eastAsia="宋体" w:cs="宋体"/>
          <w:b/>
          <w:bCs w:val="0"/>
          <w:color w:val="auto"/>
          <w:kern w:val="0"/>
          <w:sz w:val="36"/>
          <w:szCs w:val="36"/>
        </w:rPr>
        <w:t>湖南省房屋建筑和市政基础设施工程建设项目</w:t>
      </w:r>
    </w:p>
    <w:tbl>
      <w:tblPr>
        <w:tblStyle w:val="5"/>
        <w:tblpPr w:leftFromText="180" w:rightFromText="180" w:vertAnchor="text" w:horzAnchor="page" w:tblpX="1251" w:tblpY="932"/>
        <w:tblOverlap w:val="never"/>
        <w:tblW w:w="14545"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32"/>
        <w:gridCol w:w="869"/>
        <w:gridCol w:w="777"/>
        <w:gridCol w:w="1430"/>
        <w:gridCol w:w="8342"/>
        <w:gridCol w:w="229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5" w:hRule="atLeast"/>
          <w:tblHeader/>
        </w:trPr>
        <w:tc>
          <w:tcPr>
            <w:tcW w:w="832"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版块</w:t>
            </w:r>
          </w:p>
        </w:tc>
        <w:tc>
          <w:tcPr>
            <w:tcW w:w="869"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项目</w:t>
            </w:r>
          </w:p>
        </w:tc>
        <w:tc>
          <w:tcPr>
            <w:tcW w:w="777"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分值</w:t>
            </w:r>
          </w:p>
        </w:tc>
        <w:tc>
          <w:tcPr>
            <w:tcW w:w="1430"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评价内容</w:t>
            </w:r>
          </w:p>
        </w:tc>
        <w:tc>
          <w:tcPr>
            <w:tcW w:w="8342"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评价标准</w:t>
            </w:r>
          </w:p>
        </w:tc>
        <w:tc>
          <w:tcPr>
            <w:tcW w:w="2295" w:type="dxa"/>
            <w:tcBorders>
              <w:top w:val="single" w:color="auto" w:sz="4" w:space="0"/>
            </w:tcBorders>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30" w:hRule="atLeast"/>
        </w:trPr>
        <w:tc>
          <w:tcPr>
            <w:tcW w:w="832" w:type="dxa"/>
            <w:vMerge w:val="restart"/>
            <w:vAlign w:val="center"/>
          </w:tcPr>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2</w:t>
            </w:r>
          </w:p>
          <w:p>
            <w:pPr>
              <w:jc w:val="center"/>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优良信用信息</w:t>
            </w:r>
          </w:p>
          <w:p>
            <w:pPr>
              <w:jc w:val="center"/>
              <w:rPr>
                <w:rFonts w:asciiTheme="minorEastAsia" w:hAnsiTheme="minorEastAsia" w:eastAsiaTheme="minorEastAsia"/>
                <w:b/>
                <w:color w:val="auto"/>
                <w:sz w:val="24"/>
                <w:szCs w:val="24"/>
              </w:rPr>
            </w:pPr>
            <w:r>
              <w:rPr>
                <w:rFonts w:hint="eastAsia" w:asciiTheme="minorEastAsia" w:hAnsiTheme="minorEastAsia" w:eastAsiaTheme="minorEastAsia"/>
                <w:b/>
                <w:color w:val="auto"/>
                <w:sz w:val="24"/>
                <w:szCs w:val="24"/>
                <w:lang w:val="en-US" w:eastAsia="zh-CN"/>
              </w:rPr>
              <w:t>5</w:t>
            </w:r>
            <w:r>
              <w:rPr>
                <w:rFonts w:hint="eastAsia" w:asciiTheme="minorEastAsia" w:hAnsiTheme="minorEastAsia" w:eastAsiaTheme="minorEastAsia"/>
                <w:b/>
                <w:color w:val="auto"/>
                <w:sz w:val="24"/>
                <w:szCs w:val="24"/>
              </w:rPr>
              <w:t>分</w:t>
            </w:r>
          </w:p>
        </w:tc>
        <w:tc>
          <w:tcPr>
            <w:tcW w:w="869" w:type="dxa"/>
            <w:tcBorders>
              <w:bottom w:val="single" w:color="auto" w:sz="4" w:space="0"/>
            </w:tcBorders>
            <w:vAlign w:val="center"/>
          </w:tcPr>
          <w:p>
            <w:pPr>
              <w:jc w:val="center"/>
              <w:rPr>
                <w:rFonts w:hint="eastAsia" w:ascii="仿宋" w:hAnsi="仿宋" w:eastAsia="仿宋" w:cs="仿宋"/>
                <w:b/>
                <w:color w:val="auto"/>
                <w:sz w:val="24"/>
                <w:szCs w:val="24"/>
              </w:rPr>
            </w:pPr>
            <w:r>
              <w:rPr>
                <w:rFonts w:hint="eastAsia" w:ascii="仿宋" w:hAnsi="仿宋" w:eastAsia="仿宋" w:cs="仿宋"/>
                <w:color w:val="auto"/>
                <w:sz w:val="24"/>
                <w:szCs w:val="24"/>
              </w:rPr>
              <w:t>行业荣誉</w:t>
            </w:r>
          </w:p>
        </w:tc>
        <w:tc>
          <w:tcPr>
            <w:tcW w:w="777"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分</w:t>
            </w:r>
          </w:p>
        </w:tc>
        <w:tc>
          <w:tcPr>
            <w:tcW w:w="143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通报表彰</w:t>
            </w:r>
          </w:p>
        </w:tc>
        <w:tc>
          <w:tcPr>
            <w:tcW w:w="8342"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近</w:t>
            </w: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lang w:eastAsia="zh-CN"/>
              </w:rPr>
              <w:t>个年度，房建市政项目</w:t>
            </w: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获得</w:t>
            </w:r>
            <w:r>
              <w:rPr>
                <w:rFonts w:hint="eastAsia" w:ascii="仿宋" w:hAnsi="仿宋" w:eastAsia="仿宋" w:cs="仿宋"/>
                <w:color w:val="auto"/>
                <w:sz w:val="24"/>
                <w:szCs w:val="24"/>
                <w:lang w:eastAsia="zh-CN"/>
              </w:rPr>
              <w:t>省、</w:t>
            </w:r>
            <w:r>
              <w:rPr>
                <w:rFonts w:hint="eastAsia" w:ascii="仿宋" w:hAnsi="仿宋" w:eastAsia="仿宋" w:cs="仿宋"/>
                <w:color w:val="auto"/>
                <w:sz w:val="24"/>
                <w:szCs w:val="24"/>
              </w:rPr>
              <w:t>市州以上住房城乡建主管部门或建设工程招投标行业协会</w:t>
            </w:r>
            <w:r>
              <w:rPr>
                <w:rFonts w:hint="eastAsia" w:ascii="仿宋" w:hAnsi="仿宋" w:eastAsia="仿宋" w:cs="仿宋"/>
                <w:color w:val="auto"/>
                <w:sz w:val="24"/>
                <w:szCs w:val="24"/>
                <w:lang w:val="en-US" w:eastAsia="zh-CN"/>
              </w:rPr>
              <w:t>颁发的“信用评价领先招标代理机构”或“信用评价领先项目负责人”奖项（简称“信用评价领先奖”）的</w:t>
            </w:r>
            <w:r>
              <w:rPr>
                <w:rFonts w:hint="eastAsia" w:ascii="仿宋" w:hAnsi="仿宋" w:eastAsia="仿宋" w:cs="仿宋"/>
                <w:color w:val="auto"/>
                <w:sz w:val="24"/>
                <w:szCs w:val="24"/>
              </w:rPr>
              <w:t>，以发文时间为准：省级</w:t>
            </w:r>
            <w:r>
              <w:rPr>
                <w:rFonts w:hint="eastAsia" w:ascii="仿宋" w:hAnsi="仿宋" w:eastAsia="仿宋" w:cs="仿宋"/>
                <w:color w:val="auto"/>
                <w:sz w:val="24"/>
                <w:szCs w:val="24"/>
                <w:lang w:eastAsia="zh-CN"/>
              </w:rPr>
              <w:t>表彰</w:t>
            </w:r>
            <w:r>
              <w:rPr>
                <w:rFonts w:hint="eastAsia" w:ascii="仿宋" w:hAnsi="仿宋" w:eastAsia="仿宋" w:cs="仿宋"/>
                <w:color w:val="auto"/>
                <w:sz w:val="24"/>
                <w:szCs w:val="24"/>
              </w:rPr>
              <w:t>计</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市州级</w:t>
            </w:r>
            <w:r>
              <w:rPr>
                <w:rFonts w:hint="eastAsia" w:ascii="仿宋" w:hAnsi="仿宋" w:eastAsia="仿宋" w:cs="仿宋"/>
                <w:color w:val="auto"/>
                <w:sz w:val="24"/>
                <w:szCs w:val="24"/>
                <w:lang w:eastAsia="zh-CN"/>
              </w:rPr>
              <w:t>表彰</w:t>
            </w:r>
            <w:r>
              <w:rPr>
                <w:rFonts w:hint="eastAsia" w:ascii="仿宋" w:hAnsi="仿宋" w:eastAsia="仿宋" w:cs="仿宋"/>
                <w:color w:val="auto"/>
                <w:sz w:val="24"/>
                <w:szCs w:val="24"/>
              </w:rPr>
              <w:t>计1分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每个等级只计1个通报表彰。</w:t>
            </w:r>
          </w:p>
        </w:tc>
        <w:tc>
          <w:tcPr>
            <w:tcW w:w="2295" w:type="dxa"/>
            <w:vAlign w:val="center"/>
          </w:tcPr>
          <w:p>
            <w:pPr>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相关</w:t>
            </w:r>
            <w:r>
              <w:rPr>
                <w:rFonts w:hint="eastAsia" w:ascii="仿宋" w:hAnsi="仿宋" w:eastAsia="仿宋" w:cs="仿宋"/>
                <w:color w:val="auto"/>
                <w:sz w:val="24"/>
                <w:szCs w:val="24"/>
                <w:lang w:val="en-US" w:eastAsia="zh-CN"/>
              </w:rPr>
              <w:t>信息发布后</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采集</w:t>
            </w:r>
            <w:r>
              <w:rPr>
                <w:rFonts w:hint="eastAsia" w:ascii="仿宋" w:hAnsi="仿宋" w:eastAsia="仿宋" w:cs="仿宋"/>
                <w:color w:val="auto"/>
                <w:sz w:val="24"/>
                <w:szCs w:val="24"/>
              </w:rPr>
              <w:t>进入信用评价计分之日起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60" w:hRule="atLeast"/>
        </w:trPr>
        <w:tc>
          <w:tcPr>
            <w:tcW w:w="832" w:type="dxa"/>
            <w:vMerge w:val="continue"/>
            <w:vAlign w:val="center"/>
          </w:tcPr>
          <w:p>
            <w:pPr>
              <w:jc w:val="center"/>
              <w:rPr>
                <w:rFonts w:asciiTheme="minorEastAsia" w:hAnsiTheme="minorEastAsia" w:eastAsiaTheme="minorEastAsia"/>
                <w:color w:val="auto"/>
                <w:sz w:val="24"/>
                <w:szCs w:val="24"/>
              </w:rPr>
            </w:pPr>
          </w:p>
        </w:tc>
        <w:tc>
          <w:tcPr>
            <w:tcW w:w="869" w:type="dxa"/>
            <w:tcBorders>
              <w:top w:val="single" w:color="auto" w:sz="4" w:space="0"/>
              <w:bottom w:val="single" w:color="auto" w:sz="4" w:space="0"/>
            </w:tcBorders>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行业抽查</w:t>
            </w:r>
          </w:p>
        </w:tc>
        <w:tc>
          <w:tcPr>
            <w:tcW w:w="777" w:type="dxa"/>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2分</w:t>
            </w:r>
          </w:p>
        </w:tc>
        <w:tc>
          <w:tcPr>
            <w:tcW w:w="1430" w:type="dxa"/>
            <w:vAlign w:val="center"/>
          </w:tcPr>
          <w:p>
            <w:pPr>
              <w:jc w:val="left"/>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省级建设行政主管部门招标文件抽查、标后稽查情况通报</w:t>
            </w:r>
          </w:p>
        </w:tc>
        <w:tc>
          <w:tcPr>
            <w:tcW w:w="8342"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both"/>
              <w:textAlignment w:val="auto"/>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在省住房和城乡建设主管部门的季度招标文件抽查或标后稽查中，被抽查的房建市政项目招标代理行为无不良信用信息的招标代理机构或项目负责人，每个项目计0.5分。</w:t>
            </w:r>
          </w:p>
        </w:tc>
        <w:tc>
          <w:tcPr>
            <w:tcW w:w="2295" w:type="dxa"/>
            <w:vAlign w:val="center"/>
          </w:tcPr>
          <w:p>
            <w:pPr>
              <w:widowControl/>
              <w:jc w:val="left"/>
              <w:textAlignment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360天，相关信息发布后，采集进入信用评价计分之日起。</w:t>
            </w:r>
          </w:p>
        </w:tc>
      </w:tr>
    </w:tbl>
    <w:p>
      <w:pPr>
        <w:spacing w:line="720" w:lineRule="exact"/>
        <w:jc w:val="center"/>
        <w:rPr>
          <w:rFonts w:hint="eastAsia" w:asciiTheme="majorEastAsia" w:hAnsiTheme="majorEastAsia" w:eastAsiaTheme="majorEastAsia" w:cstheme="majorEastAsia"/>
          <w:b/>
          <w:bCs/>
          <w:color w:val="auto"/>
          <w:sz w:val="24"/>
          <w:szCs w:val="24"/>
        </w:rPr>
      </w:pPr>
      <w:r>
        <w:rPr>
          <w:rFonts w:hint="eastAsia" w:asciiTheme="majorEastAsia" w:hAnsiTheme="majorEastAsia" w:eastAsiaTheme="majorEastAsia" w:cstheme="majorEastAsia"/>
          <w:b/>
          <w:bCs/>
          <w:color w:val="auto"/>
          <w:sz w:val="36"/>
          <w:szCs w:val="36"/>
          <w:lang w:val="en-US" w:eastAsia="zh-CN"/>
        </w:rPr>
        <w:t>招标代理机构</w:t>
      </w:r>
      <w:r>
        <w:rPr>
          <w:rFonts w:hint="eastAsia" w:asciiTheme="majorEastAsia" w:hAnsiTheme="majorEastAsia" w:eastAsiaTheme="majorEastAsia" w:cstheme="majorEastAsia"/>
          <w:b/>
          <w:bCs/>
          <w:color w:val="auto"/>
          <w:sz w:val="36"/>
          <w:szCs w:val="36"/>
        </w:rPr>
        <w:t>及项目负责人信用评价标准（优良信用信息</w:t>
      </w:r>
      <w:r>
        <w:rPr>
          <w:rFonts w:hint="eastAsia" w:asciiTheme="majorEastAsia" w:hAnsiTheme="majorEastAsia" w:eastAsiaTheme="majorEastAsia" w:cstheme="majorEastAsia"/>
          <w:b/>
          <w:bCs/>
          <w:color w:val="auto"/>
          <w:sz w:val="24"/>
          <w:szCs w:val="24"/>
        </w:rPr>
        <w:t>）</w:t>
      </w:r>
    </w:p>
    <w:p>
      <w:pPr>
        <w:spacing w:line="720" w:lineRule="exact"/>
        <w:jc w:val="center"/>
        <w:rPr>
          <w:rFonts w:hint="eastAsia" w:ascii="宋体" w:hAnsi="宋体" w:eastAsia="宋体" w:cs="宋体"/>
          <w:b/>
          <w:bCs w:val="0"/>
          <w:color w:val="auto"/>
          <w:kern w:val="0"/>
          <w:sz w:val="36"/>
          <w:szCs w:val="36"/>
        </w:rPr>
      </w:pPr>
      <w:r>
        <w:rPr>
          <w:rFonts w:hint="eastAsia" w:ascii="宋体" w:hAnsi="宋体" w:eastAsia="宋体" w:cs="宋体"/>
          <w:b/>
          <w:bCs w:val="0"/>
          <w:color w:val="auto"/>
          <w:kern w:val="0"/>
          <w:sz w:val="36"/>
          <w:szCs w:val="36"/>
        </w:rPr>
        <w:t>湖南省房屋建筑和市政基础设施工程建设项目</w:t>
      </w:r>
    </w:p>
    <w:p>
      <w:pPr>
        <w:spacing w:line="720" w:lineRule="exact"/>
        <w:jc w:val="center"/>
        <w:rPr>
          <w:rFonts w:ascii="方正小标宋简体" w:eastAsia="方正小标宋简体"/>
          <w:color w:val="auto"/>
          <w:sz w:val="36"/>
          <w:szCs w:val="36"/>
        </w:rPr>
      </w:pPr>
      <w:r>
        <w:rPr>
          <w:rFonts w:hint="eastAsia" w:ascii="宋体" w:hAnsi="宋体" w:eastAsia="宋体" w:cs="宋体"/>
          <w:b/>
          <w:bCs w:val="0"/>
          <w:color w:val="auto"/>
          <w:kern w:val="0"/>
          <w:sz w:val="36"/>
          <w:szCs w:val="36"/>
        </w:rPr>
        <w:t>招标代理机构</w:t>
      </w:r>
      <w:r>
        <w:rPr>
          <w:rFonts w:hint="eastAsia" w:asciiTheme="majorEastAsia" w:hAnsiTheme="majorEastAsia" w:eastAsiaTheme="majorEastAsia" w:cstheme="majorEastAsia"/>
          <w:b/>
          <w:bCs/>
          <w:color w:val="auto"/>
          <w:sz w:val="36"/>
          <w:szCs w:val="36"/>
        </w:rPr>
        <w:t>及项目负责人信用评价标准（不良信用信息）</w:t>
      </w:r>
    </w:p>
    <w:tbl>
      <w:tblPr>
        <w:tblStyle w:val="5"/>
        <w:tblW w:w="1473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17"/>
        <w:gridCol w:w="1231"/>
        <w:gridCol w:w="842"/>
        <w:gridCol w:w="1304"/>
        <w:gridCol w:w="6901"/>
        <w:gridCol w:w="363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28" w:hRule="atLeast"/>
          <w:tblHeader/>
          <w:jc w:val="center"/>
        </w:trPr>
        <w:tc>
          <w:tcPr>
            <w:tcW w:w="817"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版块</w:t>
            </w:r>
          </w:p>
        </w:tc>
        <w:tc>
          <w:tcPr>
            <w:tcW w:w="1231"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项目</w:t>
            </w:r>
          </w:p>
        </w:tc>
        <w:tc>
          <w:tcPr>
            <w:tcW w:w="842"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分值</w:t>
            </w:r>
          </w:p>
        </w:tc>
        <w:tc>
          <w:tcPr>
            <w:tcW w:w="1304"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评价内容</w:t>
            </w:r>
          </w:p>
        </w:tc>
        <w:tc>
          <w:tcPr>
            <w:tcW w:w="6901"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评价标准</w:t>
            </w:r>
          </w:p>
        </w:tc>
        <w:tc>
          <w:tcPr>
            <w:tcW w:w="3636" w:type="dxa"/>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68" w:hRule="atLeast"/>
          <w:tblHeader/>
          <w:jc w:val="center"/>
        </w:trPr>
        <w:tc>
          <w:tcPr>
            <w:tcW w:w="817" w:type="dxa"/>
            <w:vMerge w:val="restart"/>
            <w:tcBorders>
              <w:top w:val="single" w:color="auto" w:sz="4" w:space="0"/>
            </w:tcBorders>
            <w:vAlign w:val="center"/>
          </w:tcPr>
          <w:p>
            <w:pPr>
              <w:jc w:val="center"/>
              <w:rPr>
                <w:rFonts w:ascii="宋体" w:hAnsi="宋体" w:eastAsia="宋体"/>
                <w:b/>
                <w:color w:val="auto"/>
                <w:sz w:val="24"/>
                <w:szCs w:val="24"/>
              </w:rPr>
            </w:pPr>
            <w:r>
              <w:rPr>
                <w:rFonts w:ascii="宋体" w:hAnsi="宋体" w:eastAsia="宋体"/>
                <w:b/>
                <w:color w:val="auto"/>
                <w:sz w:val="24"/>
                <w:szCs w:val="24"/>
              </w:rPr>
              <w:t>3</w:t>
            </w:r>
          </w:p>
          <w:p>
            <w:pPr>
              <w:jc w:val="center"/>
              <w:rPr>
                <w:rFonts w:ascii="宋体" w:hAnsi="宋体" w:eastAsia="宋体"/>
                <w:b/>
                <w:color w:val="auto"/>
                <w:sz w:val="24"/>
                <w:szCs w:val="24"/>
              </w:rPr>
            </w:pPr>
            <w:r>
              <w:rPr>
                <w:rFonts w:ascii="宋体" w:hAnsi="宋体" w:eastAsia="宋体"/>
                <w:b/>
                <w:color w:val="auto"/>
                <w:sz w:val="24"/>
                <w:szCs w:val="24"/>
              </w:rPr>
              <w:t>不良信用信息</w:t>
            </w:r>
          </w:p>
          <w:p>
            <w:pPr>
              <w:jc w:val="center"/>
              <w:rPr>
                <w:rFonts w:ascii="宋体" w:hAnsi="宋体" w:eastAsia="宋体"/>
                <w:b/>
                <w:color w:val="auto"/>
                <w:sz w:val="24"/>
                <w:szCs w:val="24"/>
              </w:rPr>
            </w:pPr>
            <w:r>
              <w:rPr>
                <w:rFonts w:hint="eastAsia" w:ascii="宋体" w:hAnsi="宋体" w:eastAsia="宋体"/>
                <w:b/>
                <w:color w:val="auto"/>
                <w:sz w:val="24"/>
                <w:szCs w:val="24"/>
              </w:rPr>
              <w:t>5</w:t>
            </w:r>
            <w:r>
              <w:rPr>
                <w:rFonts w:hint="eastAsia" w:ascii="宋体" w:hAnsi="宋体" w:eastAsia="宋体"/>
                <w:b/>
                <w:color w:val="auto"/>
                <w:sz w:val="24"/>
                <w:szCs w:val="24"/>
                <w:lang w:val="en-US" w:eastAsia="zh-CN"/>
              </w:rPr>
              <w:t>5</w:t>
            </w:r>
            <w:r>
              <w:rPr>
                <w:rFonts w:hint="eastAsia" w:ascii="宋体" w:hAnsi="宋体" w:eastAsia="宋体"/>
                <w:b/>
                <w:color w:val="auto"/>
                <w:sz w:val="24"/>
                <w:szCs w:val="24"/>
              </w:rPr>
              <w:t>分</w:t>
            </w:r>
          </w:p>
        </w:tc>
        <w:tc>
          <w:tcPr>
            <w:tcW w:w="1231" w:type="dxa"/>
            <w:tcBorders>
              <w:top w:val="single" w:color="auto" w:sz="4" w:space="0"/>
            </w:tcBorders>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失信</w:t>
            </w:r>
          </w:p>
          <w:p>
            <w:pPr>
              <w:jc w:val="center"/>
              <w:rPr>
                <w:rFonts w:hint="default" w:ascii="宋体" w:hAnsi="宋体" w:eastAsia="宋体"/>
                <w:b/>
                <w:color w:val="auto"/>
                <w:sz w:val="24"/>
                <w:szCs w:val="24"/>
                <w:lang w:val="en-US" w:eastAsia="zh-CN"/>
              </w:rPr>
            </w:pPr>
            <w:r>
              <w:rPr>
                <w:rFonts w:hint="eastAsia" w:ascii="仿宋" w:hAnsi="仿宋" w:eastAsia="仿宋" w:cs="仿宋"/>
                <w:color w:val="auto"/>
                <w:sz w:val="24"/>
                <w:szCs w:val="24"/>
                <w:lang w:val="en-US" w:eastAsia="zh-CN"/>
              </w:rPr>
              <w:t>黑名单</w:t>
            </w:r>
          </w:p>
        </w:tc>
        <w:tc>
          <w:tcPr>
            <w:tcW w:w="842" w:type="dxa"/>
            <w:vMerge w:val="restart"/>
            <w:tcBorders>
              <w:top w:val="single" w:color="auto" w:sz="4" w:space="0"/>
            </w:tcBorders>
            <w:vAlign w:val="center"/>
          </w:tcPr>
          <w:p>
            <w:pPr>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55</w:t>
            </w:r>
            <w:r>
              <w:rPr>
                <w:rFonts w:hint="eastAsia" w:ascii="仿宋" w:hAnsi="仿宋" w:eastAsia="仿宋" w:cs="仿宋"/>
                <w:color w:val="auto"/>
                <w:kern w:val="0"/>
                <w:sz w:val="24"/>
                <w:szCs w:val="24"/>
              </w:rPr>
              <w:t>分</w:t>
            </w:r>
          </w:p>
        </w:tc>
        <w:tc>
          <w:tcPr>
            <w:tcW w:w="1304" w:type="dxa"/>
            <w:tcBorders>
              <w:top w:val="single" w:color="auto" w:sz="4" w:space="0"/>
            </w:tcBorders>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失信</w:t>
            </w:r>
          </w:p>
          <w:p>
            <w:pPr>
              <w:jc w:val="center"/>
              <w:rPr>
                <w:rFonts w:ascii="宋体" w:hAnsi="宋体" w:eastAsia="宋体"/>
                <w:b/>
                <w:color w:val="auto"/>
                <w:sz w:val="24"/>
                <w:szCs w:val="24"/>
              </w:rPr>
            </w:pPr>
            <w:r>
              <w:rPr>
                <w:rFonts w:hint="eastAsia" w:ascii="仿宋" w:hAnsi="仿宋" w:eastAsia="仿宋" w:cs="仿宋"/>
                <w:color w:val="auto"/>
                <w:sz w:val="24"/>
                <w:szCs w:val="24"/>
                <w:lang w:val="en-US" w:eastAsia="zh-CN"/>
              </w:rPr>
              <w:t>黑名单</w:t>
            </w:r>
          </w:p>
        </w:tc>
        <w:tc>
          <w:tcPr>
            <w:tcW w:w="6901" w:type="dxa"/>
            <w:tcBorders>
              <w:top w:val="single" w:color="auto" w:sz="4" w:space="0"/>
            </w:tcBorders>
            <w:vAlign w:val="center"/>
          </w:tcPr>
          <w:p>
            <w:pPr>
              <w:jc w:val="left"/>
              <w:rPr>
                <w:rFonts w:ascii="宋体" w:hAnsi="宋体" w:eastAsia="宋体"/>
                <w:b/>
                <w:color w:val="auto"/>
                <w:sz w:val="24"/>
                <w:szCs w:val="24"/>
              </w:rPr>
            </w:pP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或项目负责人在招标代理业务中发生</w:t>
            </w:r>
            <w:r>
              <w:rPr>
                <w:rFonts w:hint="eastAsia" w:ascii="仿宋" w:hAnsi="仿宋" w:eastAsia="仿宋" w:cs="仿宋"/>
                <w:color w:val="auto"/>
                <w:sz w:val="24"/>
                <w:szCs w:val="24"/>
              </w:rPr>
              <w:t>违法行为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被列入失信黑名单</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不良信用信息项分值全部扣除，即</w:t>
            </w:r>
            <w:r>
              <w:rPr>
                <w:rFonts w:hint="eastAsia" w:ascii="仿宋" w:hAnsi="仿宋" w:eastAsia="仿宋" w:cs="仿宋"/>
                <w:color w:val="auto"/>
                <w:sz w:val="24"/>
                <w:szCs w:val="24"/>
              </w:rPr>
              <w:t>扣</w:t>
            </w:r>
            <w:r>
              <w:rPr>
                <w:rFonts w:hint="eastAsia" w:ascii="仿宋" w:hAnsi="仿宋" w:eastAsia="仿宋" w:cs="仿宋"/>
                <w:color w:val="auto"/>
                <w:sz w:val="24"/>
                <w:szCs w:val="24"/>
                <w:lang w:val="en-US" w:eastAsia="zh-CN"/>
              </w:rPr>
              <w:t>55</w:t>
            </w:r>
            <w:r>
              <w:rPr>
                <w:rFonts w:hint="eastAsia" w:ascii="仿宋" w:hAnsi="仿宋" w:eastAsia="仿宋" w:cs="仿宋"/>
                <w:color w:val="auto"/>
                <w:sz w:val="24"/>
                <w:szCs w:val="24"/>
              </w:rPr>
              <w:t>分；</w:t>
            </w:r>
          </w:p>
        </w:tc>
        <w:tc>
          <w:tcPr>
            <w:tcW w:w="3636" w:type="dxa"/>
            <w:tcBorders>
              <w:top w:val="single" w:color="auto" w:sz="4" w:space="0"/>
            </w:tcBorders>
            <w:vAlign w:val="center"/>
          </w:tcPr>
          <w:p>
            <w:pPr>
              <w:jc w:val="left"/>
              <w:rPr>
                <w:rFonts w:ascii="宋体" w:hAnsi="宋体" w:eastAsia="宋体"/>
                <w:b/>
                <w:color w:val="auto"/>
                <w:sz w:val="24"/>
                <w:szCs w:val="24"/>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相关信息</w:t>
            </w:r>
            <w:r>
              <w:rPr>
                <w:rFonts w:hint="eastAsia" w:ascii="仿宋" w:hAnsi="仿宋" w:eastAsia="仿宋" w:cs="仿宋"/>
                <w:color w:val="auto"/>
                <w:sz w:val="24"/>
                <w:szCs w:val="24"/>
                <w:lang w:val="en-US" w:eastAsia="zh-CN"/>
              </w:rPr>
              <w:t>发布后</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采集</w:t>
            </w:r>
            <w:r>
              <w:rPr>
                <w:rFonts w:hint="eastAsia" w:ascii="仿宋" w:hAnsi="仿宋" w:eastAsia="仿宋" w:cs="仿宋"/>
                <w:color w:val="auto"/>
                <w:sz w:val="24"/>
                <w:szCs w:val="24"/>
              </w:rPr>
              <w:t>进入信用评价计分之日起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2" w:hRule="exact"/>
          <w:jc w:val="center"/>
        </w:trPr>
        <w:tc>
          <w:tcPr>
            <w:tcW w:w="817" w:type="dxa"/>
            <w:vMerge w:val="continue"/>
            <w:vAlign w:val="center"/>
          </w:tcPr>
          <w:p>
            <w:pPr>
              <w:jc w:val="center"/>
              <w:rPr>
                <w:rFonts w:ascii="宋体" w:hAnsi="宋体" w:eastAsia="宋体"/>
                <w:b/>
                <w:color w:val="auto"/>
                <w:sz w:val="24"/>
                <w:szCs w:val="24"/>
              </w:rPr>
            </w:pPr>
          </w:p>
        </w:tc>
        <w:tc>
          <w:tcPr>
            <w:tcW w:w="1231" w:type="dxa"/>
            <w:vMerge w:val="restart"/>
            <w:vAlign w:val="center"/>
          </w:tcPr>
          <w:p>
            <w:pPr>
              <w:jc w:val="center"/>
              <w:rPr>
                <w:rFonts w:hint="eastAsia" w:ascii="仿宋" w:hAnsi="仿宋" w:eastAsia="仿宋" w:cs="仿宋"/>
                <w:b/>
                <w:color w:val="auto"/>
                <w:sz w:val="24"/>
                <w:szCs w:val="24"/>
              </w:rPr>
            </w:pPr>
            <w:r>
              <w:rPr>
                <w:rFonts w:hint="eastAsia" w:ascii="仿宋" w:hAnsi="仿宋" w:eastAsia="仿宋" w:cs="仿宋"/>
                <w:color w:val="auto"/>
                <w:sz w:val="24"/>
                <w:szCs w:val="24"/>
              </w:rPr>
              <w:t>司法制裁</w:t>
            </w:r>
          </w:p>
        </w:tc>
        <w:tc>
          <w:tcPr>
            <w:tcW w:w="842" w:type="dxa"/>
            <w:vMerge w:val="continue"/>
            <w:vAlign w:val="center"/>
          </w:tcPr>
          <w:p>
            <w:pPr>
              <w:jc w:val="center"/>
              <w:rPr>
                <w:rFonts w:hint="eastAsia" w:ascii="仿宋" w:hAnsi="仿宋" w:eastAsia="仿宋" w:cs="仿宋"/>
                <w:color w:val="auto"/>
                <w:kern w:val="0"/>
                <w:sz w:val="24"/>
                <w:szCs w:val="24"/>
              </w:rPr>
            </w:pPr>
          </w:p>
        </w:tc>
        <w:tc>
          <w:tcPr>
            <w:tcW w:w="1304" w:type="dxa"/>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刑事处罚</w:t>
            </w:r>
          </w:p>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决定书</w:t>
            </w:r>
          </w:p>
        </w:tc>
        <w:tc>
          <w:tcPr>
            <w:tcW w:w="6901"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或项目负责人在招标代理业务中发生</w:t>
            </w:r>
            <w:r>
              <w:rPr>
                <w:rFonts w:hint="eastAsia" w:ascii="仿宋" w:hAnsi="仿宋" w:eastAsia="仿宋" w:cs="仿宋"/>
                <w:color w:val="auto"/>
                <w:sz w:val="24"/>
                <w:szCs w:val="24"/>
              </w:rPr>
              <w:t>违法行为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受到刑事处罚</w:t>
            </w:r>
            <w:r>
              <w:rPr>
                <w:rFonts w:hint="eastAsia" w:ascii="仿宋" w:hAnsi="仿宋" w:eastAsia="仿宋" w:cs="仿宋"/>
                <w:color w:val="auto"/>
                <w:sz w:val="24"/>
                <w:szCs w:val="24"/>
              </w:rPr>
              <w:t>的，每次扣20分；</w:t>
            </w:r>
          </w:p>
        </w:tc>
        <w:tc>
          <w:tcPr>
            <w:tcW w:w="3636" w:type="dxa"/>
            <w:vMerge w:val="restart"/>
            <w:vAlign w:val="center"/>
          </w:tcPr>
          <w:p>
            <w:pPr>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相关信息</w:t>
            </w:r>
            <w:r>
              <w:rPr>
                <w:rFonts w:hint="eastAsia" w:ascii="仿宋" w:hAnsi="仿宋" w:eastAsia="仿宋" w:cs="仿宋"/>
                <w:color w:val="auto"/>
                <w:sz w:val="24"/>
                <w:szCs w:val="24"/>
                <w:lang w:val="en-US" w:eastAsia="zh-CN"/>
              </w:rPr>
              <w:t>发布后</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采集</w:t>
            </w:r>
            <w:r>
              <w:rPr>
                <w:rFonts w:hint="eastAsia" w:ascii="仿宋" w:hAnsi="仿宋" w:eastAsia="仿宋" w:cs="仿宋"/>
                <w:color w:val="auto"/>
                <w:sz w:val="24"/>
                <w:szCs w:val="24"/>
              </w:rPr>
              <w:t>进入信用评价计分之日起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76" w:hRule="exact"/>
          <w:jc w:val="center"/>
        </w:trPr>
        <w:tc>
          <w:tcPr>
            <w:tcW w:w="817" w:type="dxa"/>
            <w:vMerge w:val="continue"/>
            <w:vAlign w:val="center"/>
          </w:tcPr>
          <w:p>
            <w:pPr>
              <w:jc w:val="center"/>
              <w:rPr>
                <w:rFonts w:ascii="宋体" w:hAnsi="宋体" w:eastAsia="宋体"/>
                <w:color w:val="auto"/>
                <w:sz w:val="24"/>
                <w:szCs w:val="24"/>
              </w:rPr>
            </w:pPr>
          </w:p>
        </w:tc>
        <w:tc>
          <w:tcPr>
            <w:tcW w:w="1231" w:type="dxa"/>
            <w:vMerge w:val="continue"/>
            <w:tcBorders>
              <w:bottom w:val="single" w:color="auto" w:sz="4" w:space="0"/>
            </w:tcBorders>
            <w:vAlign w:val="center"/>
          </w:tcPr>
          <w:p>
            <w:pPr>
              <w:jc w:val="center"/>
              <w:rPr>
                <w:rFonts w:hint="eastAsia" w:ascii="仿宋" w:hAnsi="仿宋" w:eastAsia="仿宋" w:cs="仿宋"/>
                <w:color w:val="auto"/>
                <w:sz w:val="24"/>
                <w:szCs w:val="24"/>
              </w:rPr>
            </w:pPr>
          </w:p>
        </w:tc>
        <w:tc>
          <w:tcPr>
            <w:tcW w:w="842" w:type="dxa"/>
            <w:vMerge w:val="continue"/>
            <w:vAlign w:val="center"/>
          </w:tcPr>
          <w:p>
            <w:pPr>
              <w:jc w:val="center"/>
              <w:rPr>
                <w:rFonts w:hint="eastAsia" w:ascii="仿宋" w:hAnsi="仿宋" w:eastAsia="仿宋" w:cs="仿宋"/>
                <w:color w:val="auto"/>
                <w:sz w:val="24"/>
                <w:szCs w:val="24"/>
              </w:rPr>
            </w:pPr>
          </w:p>
        </w:tc>
        <w:tc>
          <w:tcPr>
            <w:tcW w:w="130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失信被执</w:t>
            </w:r>
          </w:p>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行人名单</w:t>
            </w:r>
          </w:p>
        </w:tc>
        <w:tc>
          <w:tcPr>
            <w:tcW w:w="6901"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或项目负责人在招标代理业务中发生</w:t>
            </w:r>
            <w:r>
              <w:rPr>
                <w:rFonts w:hint="eastAsia" w:ascii="仿宋" w:hAnsi="仿宋" w:eastAsia="仿宋" w:cs="仿宋"/>
                <w:color w:val="auto"/>
                <w:sz w:val="24"/>
                <w:szCs w:val="24"/>
              </w:rPr>
              <w:t>违法行为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被人民法院列入失信被执行人名单的，每次扣15分。</w:t>
            </w:r>
          </w:p>
        </w:tc>
        <w:tc>
          <w:tcPr>
            <w:tcW w:w="3636" w:type="dxa"/>
            <w:vMerge w:val="continue"/>
            <w:vAlign w:val="center"/>
          </w:tcPr>
          <w:p>
            <w:pPr>
              <w:jc w:val="left"/>
              <w:rPr>
                <w:rFonts w:hint="eastAsia" w:ascii="仿宋" w:hAnsi="仿宋" w:eastAsia="仿宋" w:cs="仿宋"/>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7" w:hRule="atLeast"/>
          <w:jc w:val="center"/>
        </w:trPr>
        <w:tc>
          <w:tcPr>
            <w:tcW w:w="817" w:type="dxa"/>
            <w:vMerge w:val="continue"/>
            <w:vAlign w:val="center"/>
          </w:tcPr>
          <w:p>
            <w:pPr>
              <w:jc w:val="center"/>
              <w:rPr>
                <w:rFonts w:ascii="宋体" w:hAnsi="宋体" w:eastAsia="宋体"/>
                <w:color w:val="auto"/>
                <w:sz w:val="24"/>
                <w:szCs w:val="24"/>
              </w:rPr>
            </w:pPr>
          </w:p>
        </w:tc>
        <w:tc>
          <w:tcPr>
            <w:tcW w:w="1231" w:type="dxa"/>
            <w:tcBorders>
              <w:top w:val="single" w:color="auto" w:sz="4" w:space="0"/>
            </w:tcBorders>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行政处</w:t>
            </w:r>
            <w:r>
              <w:rPr>
                <w:rFonts w:hint="eastAsia" w:ascii="仿宋" w:hAnsi="仿宋" w:eastAsia="仿宋" w:cs="仿宋"/>
                <w:color w:val="auto"/>
                <w:sz w:val="24"/>
                <w:szCs w:val="24"/>
                <w:lang w:val="en-US" w:eastAsia="zh-CN"/>
              </w:rPr>
              <w:t>罚</w:t>
            </w:r>
          </w:p>
        </w:tc>
        <w:tc>
          <w:tcPr>
            <w:tcW w:w="842" w:type="dxa"/>
            <w:vMerge w:val="continue"/>
            <w:vAlign w:val="center"/>
          </w:tcPr>
          <w:p>
            <w:pPr>
              <w:jc w:val="center"/>
              <w:rPr>
                <w:rFonts w:hint="eastAsia" w:ascii="仿宋" w:hAnsi="仿宋" w:eastAsia="仿宋" w:cs="仿宋"/>
                <w:color w:val="auto"/>
                <w:kern w:val="0"/>
                <w:sz w:val="24"/>
                <w:szCs w:val="24"/>
              </w:rPr>
            </w:pPr>
          </w:p>
        </w:tc>
        <w:tc>
          <w:tcPr>
            <w:tcW w:w="130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行政处罚</w:t>
            </w:r>
          </w:p>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决定书</w:t>
            </w:r>
          </w:p>
        </w:tc>
        <w:tc>
          <w:tcPr>
            <w:tcW w:w="6901"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或项目负责人在</w:t>
            </w:r>
            <w:r>
              <w:rPr>
                <w:rFonts w:hint="eastAsia" w:ascii="仿宋" w:hAnsi="仿宋" w:eastAsia="仿宋" w:cs="仿宋"/>
                <w:color w:val="auto"/>
                <w:sz w:val="24"/>
                <w:szCs w:val="24"/>
                <w:lang w:val="en-US" w:eastAsia="zh-CN"/>
              </w:rPr>
              <w:t>招标代理业务中发生</w:t>
            </w:r>
            <w:r>
              <w:rPr>
                <w:rFonts w:hint="eastAsia" w:ascii="仿宋" w:hAnsi="仿宋" w:eastAsia="仿宋" w:cs="仿宋"/>
                <w:color w:val="auto"/>
                <w:sz w:val="24"/>
                <w:szCs w:val="24"/>
              </w:rPr>
              <w:t>违法行为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受到县级以上住房城乡建设主管部门行政处罚的，每次扣15分。</w:t>
            </w:r>
          </w:p>
        </w:tc>
        <w:tc>
          <w:tcPr>
            <w:tcW w:w="3636" w:type="dxa"/>
            <w:vAlign w:val="center"/>
          </w:tcPr>
          <w:p>
            <w:pPr>
              <w:jc w:val="left"/>
              <w:rPr>
                <w:rFonts w:hint="eastAsia" w:ascii="仿宋" w:hAnsi="仿宋" w:eastAsia="仿宋" w:cs="仿宋"/>
                <w:color w:val="auto"/>
                <w:sz w:val="24"/>
                <w:szCs w:val="24"/>
              </w:rPr>
            </w:pPr>
            <w:r>
              <w:rPr>
                <w:rFonts w:hint="eastAsia" w:ascii="仿宋" w:hAnsi="仿宋" w:eastAsia="仿宋" w:cs="仿宋"/>
                <w:color w:val="auto"/>
                <w:sz w:val="24"/>
                <w:szCs w:val="24"/>
              </w:rPr>
              <w:t>360天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相关信息</w:t>
            </w:r>
            <w:r>
              <w:rPr>
                <w:rFonts w:hint="eastAsia" w:ascii="仿宋" w:hAnsi="仿宋" w:eastAsia="仿宋" w:cs="仿宋"/>
                <w:color w:val="auto"/>
                <w:sz w:val="24"/>
                <w:szCs w:val="24"/>
                <w:lang w:val="en-US" w:eastAsia="zh-CN"/>
              </w:rPr>
              <w:t>发布后</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采集</w:t>
            </w:r>
            <w:r>
              <w:rPr>
                <w:rFonts w:hint="eastAsia" w:ascii="仿宋" w:hAnsi="仿宋" w:eastAsia="仿宋" w:cs="仿宋"/>
                <w:color w:val="auto"/>
                <w:sz w:val="24"/>
                <w:szCs w:val="24"/>
              </w:rPr>
              <w:t>进入信用评价计分之日起,</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391" w:hRule="exact"/>
          <w:jc w:val="center"/>
        </w:trPr>
        <w:tc>
          <w:tcPr>
            <w:tcW w:w="817" w:type="dxa"/>
            <w:vMerge w:val="continue"/>
            <w:vAlign w:val="center"/>
          </w:tcPr>
          <w:p>
            <w:pPr>
              <w:jc w:val="center"/>
              <w:rPr>
                <w:rFonts w:ascii="宋体" w:hAnsi="宋体" w:eastAsia="宋体"/>
                <w:color w:val="auto"/>
                <w:sz w:val="24"/>
                <w:szCs w:val="24"/>
              </w:rPr>
            </w:pPr>
          </w:p>
        </w:tc>
        <w:tc>
          <w:tcPr>
            <w:tcW w:w="1231" w:type="dxa"/>
            <w:tcBorders>
              <w:top w:val="single" w:color="auto" w:sz="4" w:space="0"/>
            </w:tcBorders>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不良行为记录</w:t>
            </w:r>
          </w:p>
        </w:tc>
        <w:tc>
          <w:tcPr>
            <w:tcW w:w="842" w:type="dxa"/>
            <w:vMerge w:val="continue"/>
            <w:vAlign w:val="center"/>
          </w:tcPr>
          <w:p>
            <w:pPr>
              <w:jc w:val="center"/>
              <w:rPr>
                <w:rFonts w:hint="eastAsia" w:ascii="仿宋" w:hAnsi="仿宋" w:eastAsia="仿宋" w:cs="仿宋"/>
                <w:color w:val="auto"/>
                <w:kern w:val="0"/>
                <w:sz w:val="24"/>
                <w:szCs w:val="24"/>
              </w:rPr>
            </w:pPr>
          </w:p>
        </w:tc>
        <w:tc>
          <w:tcPr>
            <w:tcW w:w="1304"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不良行为</w:t>
            </w:r>
            <w:r>
              <w:rPr>
                <w:rFonts w:hint="eastAsia" w:ascii="仿宋" w:hAnsi="仿宋" w:eastAsia="仿宋" w:cs="仿宋"/>
                <w:color w:val="auto"/>
                <w:sz w:val="24"/>
                <w:szCs w:val="24"/>
                <w:lang w:val="en-US" w:eastAsia="zh-CN"/>
              </w:rPr>
              <w:t>记录</w:t>
            </w:r>
            <w:r>
              <w:rPr>
                <w:rFonts w:hint="eastAsia" w:ascii="仿宋" w:hAnsi="仿宋" w:eastAsia="仿宋" w:cs="仿宋"/>
                <w:color w:val="auto"/>
                <w:sz w:val="24"/>
                <w:szCs w:val="24"/>
                <w:lang w:eastAsia="zh-CN"/>
              </w:rPr>
              <w:t>公告</w:t>
            </w:r>
          </w:p>
        </w:tc>
        <w:tc>
          <w:tcPr>
            <w:tcW w:w="6901"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招标代理机构</w:t>
            </w:r>
            <w:r>
              <w:rPr>
                <w:rFonts w:hint="eastAsia" w:ascii="仿宋" w:hAnsi="仿宋" w:eastAsia="仿宋" w:cs="仿宋"/>
                <w:color w:val="auto"/>
                <w:sz w:val="24"/>
                <w:szCs w:val="24"/>
                <w:lang w:val="en-US" w:eastAsia="zh-CN"/>
              </w:rPr>
              <w:t>或项目负责人在招标代理业务中发生</w:t>
            </w:r>
            <w:r>
              <w:rPr>
                <w:rFonts w:hint="eastAsia" w:ascii="仿宋" w:hAnsi="仿宋" w:eastAsia="仿宋" w:cs="仿宋"/>
                <w:color w:val="auto"/>
                <w:sz w:val="24"/>
                <w:szCs w:val="24"/>
              </w:rPr>
              <w:t>违法行为</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被住房城乡建设部或省住房城乡建设</w:t>
            </w:r>
            <w:r>
              <w:rPr>
                <w:rFonts w:hint="eastAsia" w:ascii="仿宋" w:hAnsi="仿宋" w:eastAsia="仿宋" w:cs="仿宋"/>
                <w:color w:val="auto"/>
                <w:sz w:val="24"/>
                <w:szCs w:val="24"/>
                <w:lang w:val="zh-CN"/>
              </w:rPr>
              <w:t>厅认定为严重不良行为记录的，每发生一起扣10分；认定为一般不良行为记录的，每发生一起扣</w:t>
            </w:r>
            <w:r>
              <w:rPr>
                <w:rFonts w:hint="eastAsia" w:ascii="仿宋" w:hAnsi="仿宋" w:eastAsia="仿宋" w:cs="仿宋"/>
                <w:color w:val="auto"/>
                <w:sz w:val="24"/>
                <w:szCs w:val="24"/>
              </w:rPr>
              <w:t>6</w:t>
            </w:r>
            <w:r>
              <w:rPr>
                <w:rFonts w:hint="eastAsia" w:ascii="仿宋" w:hAnsi="仿宋" w:eastAsia="仿宋" w:cs="仿宋"/>
                <w:color w:val="auto"/>
                <w:sz w:val="24"/>
                <w:szCs w:val="24"/>
                <w:lang w:val="zh-CN"/>
              </w:rPr>
              <w:t>分。</w:t>
            </w:r>
          </w:p>
        </w:tc>
        <w:tc>
          <w:tcPr>
            <w:tcW w:w="3636" w:type="dxa"/>
            <w:vAlign w:val="center"/>
          </w:tcPr>
          <w:p>
            <w:pPr>
              <w:jc w:val="left"/>
              <w:rPr>
                <w:rFonts w:hint="eastAsia" w:ascii="仿宋" w:hAnsi="仿宋" w:eastAsia="仿宋" w:cs="仿宋"/>
                <w:color w:val="auto"/>
                <w:sz w:val="24"/>
                <w:szCs w:val="24"/>
                <w:lang w:eastAsia="zh-CN"/>
              </w:rPr>
            </w:pPr>
            <w:r>
              <w:rPr>
                <w:rFonts w:hint="eastAsia" w:ascii="仿宋" w:hAnsi="仿宋" w:eastAsia="仿宋" w:cs="仿宋"/>
                <w:color w:val="auto"/>
                <w:sz w:val="21"/>
                <w:szCs w:val="21"/>
              </w:rPr>
              <w:t>招标代理机构</w:t>
            </w:r>
            <w:r>
              <w:rPr>
                <w:rFonts w:hint="eastAsia" w:ascii="仿宋" w:hAnsi="仿宋" w:eastAsia="仿宋" w:cs="仿宋"/>
                <w:color w:val="auto"/>
                <w:sz w:val="21"/>
                <w:szCs w:val="21"/>
                <w:lang w:val="en-US" w:eastAsia="zh-CN"/>
              </w:rPr>
              <w:t>一般</w:t>
            </w:r>
            <w:r>
              <w:rPr>
                <w:rFonts w:hint="eastAsia" w:ascii="仿宋" w:hAnsi="仿宋" w:eastAsia="仿宋" w:cs="仿宋"/>
                <w:color w:val="auto"/>
                <w:sz w:val="21"/>
                <w:szCs w:val="21"/>
              </w:rPr>
              <w:t>不良行为记录</w:t>
            </w:r>
            <w:r>
              <w:rPr>
                <w:rFonts w:hint="eastAsia" w:ascii="仿宋" w:hAnsi="仿宋" w:eastAsia="仿宋" w:cs="仿宋"/>
                <w:color w:val="auto"/>
                <w:sz w:val="21"/>
                <w:szCs w:val="21"/>
                <w:lang w:val="en-US" w:eastAsia="zh-CN"/>
              </w:rPr>
              <w:t>有效期90天，严重不良行为记录有效期180天；项目负责人一般</w:t>
            </w:r>
            <w:r>
              <w:rPr>
                <w:rFonts w:hint="eastAsia" w:ascii="仿宋" w:hAnsi="仿宋" w:eastAsia="仿宋" w:cs="仿宋"/>
                <w:color w:val="auto"/>
                <w:sz w:val="21"/>
                <w:szCs w:val="21"/>
              </w:rPr>
              <w:t>不良行为记录</w:t>
            </w:r>
            <w:r>
              <w:rPr>
                <w:rFonts w:hint="eastAsia" w:ascii="仿宋" w:hAnsi="仿宋" w:eastAsia="仿宋" w:cs="仿宋"/>
                <w:color w:val="auto"/>
                <w:sz w:val="21"/>
                <w:szCs w:val="21"/>
                <w:lang w:val="en-US" w:eastAsia="zh-CN"/>
              </w:rPr>
              <w:t>有效期180</w:t>
            </w:r>
            <w:r>
              <w:rPr>
                <w:rFonts w:hint="eastAsia" w:ascii="仿宋" w:hAnsi="仿宋" w:eastAsia="仿宋" w:cs="仿宋"/>
                <w:color w:val="auto"/>
                <w:sz w:val="21"/>
                <w:szCs w:val="21"/>
              </w:rPr>
              <w:t>天</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严重</w:t>
            </w:r>
            <w:r>
              <w:rPr>
                <w:rFonts w:hint="eastAsia" w:ascii="仿宋" w:hAnsi="仿宋" w:eastAsia="仿宋" w:cs="仿宋"/>
                <w:color w:val="auto"/>
                <w:sz w:val="21"/>
                <w:szCs w:val="21"/>
              </w:rPr>
              <w:t>不良行为记录有效期</w:t>
            </w:r>
            <w:r>
              <w:rPr>
                <w:rFonts w:hint="eastAsia" w:ascii="仿宋" w:hAnsi="仿宋" w:eastAsia="仿宋" w:cs="仿宋"/>
                <w:color w:val="auto"/>
                <w:sz w:val="21"/>
                <w:szCs w:val="21"/>
                <w:lang w:val="en-US" w:eastAsia="zh-CN"/>
              </w:rPr>
              <w:t>360</w:t>
            </w:r>
            <w:r>
              <w:rPr>
                <w:rFonts w:hint="eastAsia" w:ascii="仿宋" w:hAnsi="仿宋" w:eastAsia="仿宋" w:cs="仿宋"/>
                <w:color w:val="auto"/>
                <w:sz w:val="21"/>
                <w:szCs w:val="21"/>
              </w:rPr>
              <w:t>天。</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37" w:hRule="exact"/>
          <w:jc w:val="center"/>
        </w:trPr>
        <w:tc>
          <w:tcPr>
            <w:tcW w:w="817" w:type="dxa"/>
            <w:vMerge w:val="continue"/>
            <w:vAlign w:val="center"/>
          </w:tcPr>
          <w:p>
            <w:pPr>
              <w:jc w:val="center"/>
              <w:rPr>
                <w:rFonts w:ascii="宋体" w:hAnsi="宋体" w:eastAsia="宋体"/>
                <w:color w:val="auto"/>
                <w:sz w:val="24"/>
                <w:szCs w:val="24"/>
              </w:rPr>
            </w:pPr>
          </w:p>
        </w:tc>
        <w:tc>
          <w:tcPr>
            <w:tcW w:w="1231"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规范化</w:t>
            </w:r>
          </w:p>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考评</w:t>
            </w:r>
          </w:p>
        </w:tc>
        <w:tc>
          <w:tcPr>
            <w:tcW w:w="842" w:type="dxa"/>
            <w:vMerge w:val="continue"/>
            <w:vAlign w:val="center"/>
          </w:tcPr>
          <w:p>
            <w:pPr>
              <w:jc w:val="center"/>
              <w:rPr>
                <w:rFonts w:hint="eastAsia" w:ascii="仿宋" w:hAnsi="仿宋" w:eastAsia="仿宋" w:cs="仿宋"/>
                <w:color w:val="auto"/>
                <w:sz w:val="24"/>
                <w:szCs w:val="24"/>
              </w:rPr>
            </w:pPr>
          </w:p>
        </w:tc>
        <w:tc>
          <w:tcPr>
            <w:tcW w:w="1304" w:type="dxa"/>
            <w:vAlign w:val="center"/>
          </w:tcPr>
          <w:p>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规范化</w:t>
            </w:r>
          </w:p>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考评公告</w:t>
            </w:r>
          </w:p>
        </w:tc>
        <w:tc>
          <w:tcPr>
            <w:tcW w:w="6901" w:type="dxa"/>
            <w:vAlign w:val="center"/>
          </w:tcPr>
          <w:p>
            <w:pPr>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近1年内</w:t>
            </w:r>
            <w:r>
              <w:rPr>
                <w:rFonts w:hint="eastAsia" w:ascii="仿宋" w:hAnsi="仿宋" w:eastAsia="仿宋" w:cs="仿宋"/>
                <w:color w:val="auto"/>
                <w:sz w:val="24"/>
                <w:szCs w:val="24"/>
                <w:lang w:val="en-US" w:eastAsia="zh-CN"/>
              </w:rPr>
              <w:t>,招标代理机构或项目负责人在房建市政项目招标代理活动中产生</w:t>
            </w:r>
            <w:r>
              <w:rPr>
                <w:rFonts w:hint="eastAsia" w:ascii="仿宋" w:hAnsi="仿宋" w:eastAsia="仿宋" w:cs="仿宋"/>
                <w:color w:val="auto"/>
                <w:sz w:val="24"/>
                <w:szCs w:val="24"/>
              </w:rPr>
              <w:t>不规范行为记录</w:t>
            </w:r>
            <w:r>
              <w:rPr>
                <w:rFonts w:hint="eastAsia" w:ascii="仿宋" w:hAnsi="仿宋" w:eastAsia="仿宋" w:cs="仿宋"/>
                <w:color w:val="auto"/>
                <w:sz w:val="24"/>
                <w:szCs w:val="24"/>
                <w:lang w:val="en-US" w:eastAsia="zh-CN"/>
              </w:rPr>
              <w:t>的，</w:t>
            </w:r>
            <w:r>
              <w:rPr>
                <w:rFonts w:hint="eastAsia" w:ascii="仿宋" w:hAnsi="仿宋" w:eastAsia="仿宋" w:cs="仿宋"/>
                <w:color w:val="auto"/>
                <w:sz w:val="24"/>
                <w:szCs w:val="24"/>
              </w:rPr>
              <w:t>每条扣</w:t>
            </w:r>
            <w:r>
              <w:rPr>
                <w:rFonts w:hint="eastAsia" w:ascii="仿宋" w:hAnsi="仿宋" w:eastAsia="仿宋" w:cs="仿宋"/>
                <w:color w:val="auto"/>
                <w:sz w:val="24"/>
                <w:szCs w:val="24"/>
                <w:lang w:val="en-US" w:eastAsia="zh-CN"/>
              </w:rPr>
              <w:t>0.5</w:t>
            </w:r>
            <w:r>
              <w:rPr>
                <w:rFonts w:hint="eastAsia" w:ascii="仿宋" w:hAnsi="仿宋" w:eastAsia="仿宋" w:cs="仿宋"/>
                <w:color w:val="auto"/>
                <w:sz w:val="24"/>
                <w:szCs w:val="24"/>
              </w:rPr>
              <w:t>分</w:t>
            </w:r>
            <w:r>
              <w:rPr>
                <w:rFonts w:hint="eastAsia" w:ascii="仿宋" w:hAnsi="仿宋" w:eastAsia="仿宋" w:cs="仿宋"/>
                <w:color w:val="auto"/>
                <w:sz w:val="24"/>
                <w:szCs w:val="24"/>
                <w:lang w:eastAsia="zh-CN"/>
              </w:rPr>
              <w:t>。</w:t>
            </w:r>
          </w:p>
        </w:tc>
        <w:tc>
          <w:tcPr>
            <w:tcW w:w="3636" w:type="dxa"/>
            <w:vAlign w:val="center"/>
          </w:tcPr>
          <w:p>
            <w:pPr>
              <w:jc w:val="left"/>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36</w:t>
            </w:r>
            <w:r>
              <w:rPr>
                <w:rFonts w:hint="eastAsia" w:ascii="仿宋" w:hAnsi="仿宋" w:eastAsia="仿宋" w:cs="仿宋"/>
                <w:color w:val="auto"/>
                <w:sz w:val="24"/>
                <w:szCs w:val="24"/>
              </w:rPr>
              <w:t>0天</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规范化考评公告发布后，平台采集进入</w:t>
            </w:r>
            <w:r>
              <w:rPr>
                <w:rFonts w:hint="eastAsia" w:ascii="仿宋" w:hAnsi="仿宋" w:eastAsia="仿宋" w:cs="仿宋"/>
                <w:color w:val="auto"/>
                <w:sz w:val="24"/>
                <w:szCs w:val="24"/>
              </w:rPr>
              <w:t>信用评价</w:t>
            </w:r>
            <w:r>
              <w:rPr>
                <w:rFonts w:hint="eastAsia" w:ascii="仿宋" w:hAnsi="仿宋" w:eastAsia="仿宋" w:cs="仿宋"/>
                <w:color w:val="auto"/>
                <w:sz w:val="24"/>
                <w:szCs w:val="24"/>
                <w:lang w:val="en-US" w:eastAsia="zh-CN"/>
              </w:rPr>
              <w:t>计分之日起</w:t>
            </w:r>
            <w:r>
              <w:rPr>
                <w:rFonts w:hint="eastAsia" w:ascii="仿宋" w:hAnsi="仿宋" w:eastAsia="仿宋" w:cs="仿宋"/>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23" w:hRule="atLeast"/>
          <w:jc w:val="center"/>
        </w:trPr>
        <w:tc>
          <w:tcPr>
            <w:tcW w:w="817" w:type="dxa"/>
            <w:vMerge w:val="continue"/>
            <w:tcBorders>
              <w:bottom w:val="single" w:color="auto" w:sz="4" w:space="0"/>
            </w:tcBorders>
            <w:vAlign w:val="center"/>
          </w:tcPr>
          <w:p>
            <w:pPr>
              <w:jc w:val="center"/>
              <w:rPr>
                <w:rFonts w:ascii="宋体" w:hAnsi="宋体" w:eastAsia="宋体"/>
                <w:color w:val="auto"/>
                <w:sz w:val="24"/>
                <w:szCs w:val="24"/>
              </w:rPr>
            </w:pPr>
          </w:p>
        </w:tc>
        <w:tc>
          <w:tcPr>
            <w:tcW w:w="1231" w:type="dxa"/>
            <w:tcBorders>
              <w:bottom w:val="single" w:color="auto" w:sz="4" w:space="0"/>
            </w:tcBorders>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核查通报</w:t>
            </w:r>
          </w:p>
        </w:tc>
        <w:tc>
          <w:tcPr>
            <w:tcW w:w="842" w:type="dxa"/>
            <w:vMerge w:val="continue"/>
            <w:tcBorders>
              <w:bottom w:val="single" w:color="auto" w:sz="4" w:space="0"/>
            </w:tcBorders>
            <w:vAlign w:val="center"/>
          </w:tcPr>
          <w:p>
            <w:pPr>
              <w:rPr>
                <w:rFonts w:hint="eastAsia" w:ascii="仿宋" w:hAnsi="仿宋" w:eastAsia="仿宋" w:cs="仿宋"/>
                <w:color w:val="auto"/>
                <w:sz w:val="24"/>
                <w:szCs w:val="24"/>
              </w:rPr>
            </w:pPr>
          </w:p>
        </w:tc>
        <w:tc>
          <w:tcPr>
            <w:tcW w:w="1304" w:type="dxa"/>
            <w:tcBorders>
              <w:bottom w:val="single" w:color="auto" w:sz="4" w:space="0"/>
            </w:tcBorders>
            <w:vAlign w:val="center"/>
          </w:tcPr>
          <w:p>
            <w:pPr>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人员信息</w:t>
            </w:r>
          </w:p>
          <w:p>
            <w:pPr>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核查通报</w:t>
            </w:r>
          </w:p>
        </w:tc>
        <w:tc>
          <w:tcPr>
            <w:tcW w:w="6901" w:type="dxa"/>
            <w:tcBorders>
              <w:bottom w:val="single" w:color="auto" w:sz="4" w:space="0"/>
            </w:tcBorders>
            <w:vAlign w:val="center"/>
          </w:tcPr>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以本季度省住建厅发布的专职人员信息核查通报为准，被列入不通过人员名单的招标代理机构，</w:t>
            </w:r>
            <w:r>
              <w:rPr>
                <w:rFonts w:hint="eastAsia" w:ascii="仿宋" w:hAnsi="仿宋" w:eastAsia="仿宋" w:cs="仿宋"/>
                <w:color w:val="auto"/>
                <w:sz w:val="24"/>
                <w:szCs w:val="24"/>
              </w:rPr>
              <w:t>每</w:t>
            </w:r>
            <w:r>
              <w:rPr>
                <w:rFonts w:hint="eastAsia" w:ascii="仿宋" w:hAnsi="仿宋" w:eastAsia="仿宋" w:cs="仿宋"/>
                <w:color w:val="auto"/>
                <w:sz w:val="24"/>
                <w:szCs w:val="24"/>
                <w:lang w:val="en-US" w:eastAsia="zh-CN"/>
              </w:rPr>
              <w:t>人</w:t>
            </w:r>
            <w:r>
              <w:rPr>
                <w:rFonts w:hint="eastAsia" w:ascii="仿宋" w:hAnsi="仿宋" w:eastAsia="仿宋" w:cs="仿宋"/>
                <w:color w:val="auto"/>
                <w:sz w:val="24"/>
                <w:szCs w:val="24"/>
              </w:rPr>
              <w:t>次扣</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分。</w:t>
            </w:r>
          </w:p>
        </w:tc>
        <w:tc>
          <w:tcPr>
            <w:tcW w:w="3636" w:type="dxa"/>
            <w:tcBorders>
              <w:bottom w:val="single" w:color="auto" w:sz="4" w:space="0"/>
            </w:tcBorders>
            <w:vAlign w:val="center"/>
          </w:tcPr>
          <w:p>
            <w:pPr>
              <w:widowControl/>
              <w:jc w:val="left"/>
              <w:textAlignment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9</w:t>
            </w:r>
            <w:r>
              <w:rPr>
                <w:rFonts w:hint="eastAsia" w:ascii="仿宋" w:hAnsi="仿宋" w:eastAsia="仿宋" w:cs="仿宋"/>
                <w:color w:val="auto"/>
                <w:sz w:val="24"/>
                <w:szCs w:val="24"/>
              </w:rPr>
              <w:t>0</w:t>
            </w:r>
            <w:r>
              <w:rPr>
                <w:rFonts w:hint="eastAsia" w:ascii="仿宋" w:hAnsi="仿宋" w:eastAsia="仿宋" w:cs="仿宋"/>
                <w:color w:val="auto"/>
                <w:sz w:val="24"/>
                <w:szCs w:val="24"/>
                <w:lang w:val="en-US" w:eastAsia="zh-CN"/>
              </w:rPr>
              <w:t>天，人员信息核查通报发布后，平台采集进</w:t>
            </w:r>
            <w:r>
              <w:rPr>
                <w:rFonts w:hint="eastAsia" w:ascii="仿宋" w:hAnsi="仿宋" w:eastAsia="仿宋" w:cs="仿宋"/>
                <w:color w:val="auto"/>
                <w:sz w:val="24"/>
                <w:szCs w:val="24"/>
              </w:rPr>
              <w:t>入信用评价</w:t>
            </w:r>
            <w:r>
              <w:rPr>
                <w:rFonts w:hint="eastAsia" w:ascii="仿宋" w:hAnsi="仿宋" w:eastAsia="仿宋" w:cs="仿宋"/>
                <w:color w:val="auto"/>
                <w:sz w:val="24"/>
                <w:szCs w:val="24"/>
                <w:lang w:val="en-US" w:eastAsia="zh-CN"/>
              </w:rPr>
              <w:t>计分之日起。</w:t>
            </w:r>
          </w:p>
        </w:tc>
      </w:tr>
    </w:tbl>
    <w:p>
      <w:pPr>
        <w:widowControl/>
        <w:spacing w:line="560" w:lineRule="exact"/>
        <w:jc w:val="left"/>
        <w:rPr>
          <w:b/>
          <w:color w:val="auto"/>
          <w:kern w:val="0"/>
          <w:szCs w:val="32"/>
        </w:rPr>
      </w:pPr>
      <w:r>
        <w:rPr>
          <w:b/>
          <w:color w:val="auto"/>
          <w:kern w:val="0"/>
          <w:szCs w:val="32"/>
        </w:rPr>
        <w:t>说明：</w:t>
      </w:r>
    </w:p>
    <w:p>
      <w:pPr>
        <w:widowControl/>
        <w:spacing w:line="560" w:lineRule="exact"/>
        <w:ind w:firstLine="584" w:firstLineChars="200"/>
        <w:jc w:val="left"/>
        <w:rPr>
          <w:color w:val="auto"/>
          <w:kern w:val="0"/>
          <w:sz w:val="30"/>
          <w:szCs w:val="30"/>
        </w:rPr>
      </w:pPr>
      <w:r>
        <w:rPr>
          <w:color w:val="auto"/>
          <w:kern w:val="0"/>
          <w:sz w:val="30"/>
          <w:szCs w:val="30"/>
        </w:rPr>
        <w:t>1</w:t>
      </w:r>
      <w:r>
        <w:rPr>
          <w:rFonts w:hint="eastAsia"/>
          <w:color w:val="auto"/>
          <w:kern w:val="0"/>
          <w:sz w:val="30"/>
          <w:szCs w:val="30"/>
        </w:rPr>
        <w:t>．</w:t>
      </w:r>
      <w:r>
        <w:rPr>
          <w:color w:val="auto"/>
          <w:kern w:val="0"/>
          <w:sz w:val="30"/>
          <w:szCs w:val="30"/>
        </w:rPr>
        <w:t>招标代理机构和项目负责人因同一事项</w:t>
      </w:r>
      <w:r>
        <w:rPr>
          <w:rFonts w:hint="eastAsia"/>
          <w:color w:val="auto"/>
          <w:kern w:val="0"/>
          <w:sz w:val="30"/>
          <w:szCs w:val="30"/>
          <w:lang w:val="en-US" w:eastAsia="zh-CN"/>
        </w:rPr>
        <w:t>被列入失信黑名单、</w:t>
      </w:r>
      <w:r>
        <w:rPr>
          <w:color w:val="auto"/>
          <w:kern w:val="0"/>
          <w:sz w:val="30"/>
          <w:szCs w:val="30"/>
        </w:rPr>
        <w:t>司法制裁、行政处</w:t>
      </w:r>
      <w:r>
        <w:rPr>
          <w:rFonts w:hint="eastAsia"/>
          <w:color w:val="auto"/>
          <w:kern w:val="0"/>
          <w:sz w:val="30"/>
          <w:szCs w:val="30"/>
          <w:lang w:val="en-US" w:eastAsia="zh-CN"/>
        </w:rPr>
        <w:t>罚</w:t>
      </w:r>
      <w:r>
        <w:rPr>
          <w:color w:val="auto"/>
          <w:kern w:val="0"/>
          <w:sz w:val="30"/>
          <w:szCs w:val="30"/>
        </w:rPr>
        <w:t>、不良行为记录中两种以上处理的，按处理种类中最高分值扣分，不再其它处理种类重复扣分。</w:t>
      </w:r>
    </w:p>
    <w:p>
      <w:pPr>
        <w:widowControl/>
        <w:spacing w:line="560" w:lineRule="exact"/>
        <w:ind w:firstLine="584" w:firstLineChars="200"/>
        <w:jc w:val="left"/>
        <w:rPr>
          <w:color w:val="auto"/>
          <w:kern w:val="0"/>
          <w:sz w:val="30"/>
          <w:szCs w:val="30"/>
        </w:rPr>
      </w:pPr>
      <w:r>
        <w:rPr>
          <w:color w:val="auto"/>
          <w:kern w:val="0"/>
          <w:sz w:val="30"/>
          <w:szCs w:val="30"/>
        </w:rPr>
        <w:t>2</w:t>
      </w:r>
      <w:r>
        <w:rPr>
          <w:rFonts w:hint="eastAsia"/>
          <w:color w:val="auto"/>
          <w:kern w:val="0"/>
          <w:sz w:val="30"/>
          <w:szCs w:val="30"/>
        </w:rPr>
        <w:t>．</w:t>
      </w:r>
      <w:r>
        <w:rPr>
          <w:color w:val="auto"/>
          <w:kern w:val="0"/>
          <w:sz w:val="30"/>
          <w:szCs w:val="30"/>
        </w:rPr>
        <w:t>本省行政区域内从业的招标代理机构和项目负责人受到各级住房城乡建设主管部门行政处罚的，其评分判定期限为360天，但行政处罚内容涉及处理期限的，评分判定期限不得低于行政处罚期限。</w:t>
      </w:r>
    </w:p>
    <w:p>
      <w:pPr>
        <w:widowControl/>
        <w:spacing w:line="560" w:lineRule="exact"/>
        <w:ind w:firstLine="584" w:firstLineChars="200"/>
        <w:jc w:val="left"/>
        <w:rPr>
          <w:color w:val="auto"/>
          <w:kern w:val="0"/>
          <w:sz w:val="30"/>
          <w:szCs w:val="30"/>
        </w:rPr>
      </w:pPr>
      <w:r>
        <w:rPr>
          <w:color w:val="auto"/>
          <w:kern w:val="0"/>
          <w:sz w:val="30"/>
          <w:szCs w:val="30"/>
        </w:rPr>
        <w:t>3</w:t>
      </w:r>
      <w:r>
        <w:rPr>
          <w:rFonts w:hint="eastAsia"/>
          <w:color w:val="auto"/>
          <w:kern w:val="0"/>
          <w:sz w:val="30"/>
          <w:szCs w:val="30"/>
        </w:rPr>
        <w:t>．</w:t>
      </w:r>
      <w:r>
        <w:rPr>
          <w:rFonts w:hint="eastAsia"/>
          <w:color w:val="auto"/>
          <w:kern w:val="0"/>
          <w:sz w:val="30"/>
          <w:szCs w:val="30"/>
          <w:lang w:val="en-US" w:eastAsia="zh-CN"/>
        </w:rPr>
        <w:t>房建市政项目</w:t>
      </w:r>
      <w:r>
        <w:rPr>
          <w:color w:val="auto"/>
          <w:kern w:val="0"/>
          <w:sz w:val="30"/>
          <w:szCs w:val="30"/>
        </w:rPr>
        <w:t>招标代理机构</w:t>
      </w:r>
      <w:r>
        <w:rPr>
          <w:rFonts w:hint="eastAsia"/>
          <w:color w:val="auto"/>
          <w:kern w:val="0"/>
          <w:sz w:val="30"/>
          <w:szCs w:val="30"/>
          <w:lang w:val="en-US" w:eastAsia="zh-CN"/>
        </w:rPr>
        <w:t>一般</w:t>
      </w:r>
      <w:r>
        <w:rPr>
          <w:color w:val="auto"/>
          <w:kern w:val="0"/>
          <w:sz w:val="30"/>
          <w:szCs w:val="30"/>
        </w:rPr>
        <w:t>不良行为记录</w:t>
      </w:r>
      <w:r>
        <w:rPr>
          <w:rFonts w:hint="eastAsia"/>
          <w:color w:val="auto"/>
          <w:kern w:val="0"/>
          <w:sz w:val="30"/>
          <w:szCs w:val="30"/>
          <w:lang w:val="en-US" w:eastAsia="zh-CN"/>
        </w:rPr>
        <w:t>有效期限为推送之日起90天，严重不良行为记录有效期限为公布发文之日起180天；项目负责人一般</w:t>
      </w:r>
      <w:r>
        <w:rPr>
          <w:color w:val="auto"/>
          <w:kern w:val="0"/>
          <w:sz w:val="30"/>
          <w:szCs w:val="30"/>
        </w:rPr>
        <w:t>不良行为记录</w:t>
      </w:r>
      <w:r>
        <w:rPr>
          <w:rFonts w:hint="eastAsia"/>
          <w:color w:val="auto"/>
          <w:kern w:val="0"/>
          <w:sz w:val="30"/>
          <w:szCs w:val="30"/>
          <w:lang w:val="en-US" w:eastAsia="zh-CN"/>
        </w:rPr>
        <w:t>有效期限为推送之日起180</w:t>
      </w:r>
      <w:r>
        <w:rPr>
          <w:color w:val="auto"/>
          <w:kern w:val="0"/>
          <w:sz w:val="30"/>
          <w:szCs w:val="30"/>
        </w:rPr>
        <w:t>天</w:t>
      </w:r>
      <w:r>
        <w:rPr>
          <w:rFonts w:hint="eastAsia"/>
          <w:color w:val="auto"/>
          <w:kern w:val="0"/>
          <w:sz w:val="30"/>
          <w:szCs w:val="30"/>
          <w:lang w:eastAsia="zh-CN"/>
        </w:rPr>
        <w:t>，</w:t>
      </w:r>
      <w:r>
        <w:rPr>
          <w:rFonts w:hint="eastAsia"/>
          <w:color w:val="auto"/>
          <w:kern w:val="0"/>
          <w:sz w:val="30"/>
          <w:szCs w:val="30"/>
          <w:lang w:val="en-US" w:eastAsia="zh-CN"/>
        </w:rPr>
        <w:t>严重</w:t>
      </w:r>
      <w:r>
        <w:rPr>
          <w:color w:val="auto"/>
          <w:kern w:val="0"/>
          <w:sz w:val="30"/>
          <w:szCs w:val="30"/>
        </w:rPr>
        <w:t>不良行为记录有效期为</w:t>
      </w:r>
      <w:r>
        <w:rPr>
          <w:rFonts w:hint="eastAsia"/>
          <w:color w:val="auto"/>
          <w:kern w:val="0"/>
          <w:sz w:val="30"/>
          <w:szCs w:val="30"/>
          <w:lang w:val="en-US" w:eastAsia="zh-CN"/>
        </w:rPr>
        <w:t>公布发文之日起360</w:t>
      </w:r>
      <w:r>
        <w:rPr>
          <w:color w:val="auto"/>
          <w:kern w:val="0"/>
          <w:sz w:val="30"/>
          <w:szCs w:val="30"/>
        </w:rPr>
        <w:t>天。</w:t>
      </w:r>
    </w:p>
    <w:p>
      <w:pPr>
        <w:widowControl/>
        <w:spacing w:line="560" w:lineRule="exact"/>
        <w:ind w:firstLine="584" w:firstLineChars="200"/>
        <w:jc w:val="left"/>
        <w:rPr>
          <w:color w:val="auto"/>
          <w:kern w:val="0"/>
          <w:sz w:val="30"/>
          <w:szCs w:val="30"/>
        </w:rPr>
      </w:pPr>
      <w:r>
        <w:rPr>
          <w:color w:val="auto"/>
          <w:kern w:val="0"/>
          <w:sz w:val="30"/>
          <w:szCs w:val="30"/>
        </w:rPr>
        <w:t>4</w:t>
      </w:r>
      <w:r>
        <w:rPr>
          <w:rFonts w:hint="eastAsia"/>
          <w:color w:val="auto"/>
          <w:kern w:val="0"/>
          <w:sz w:val="30"/>
          <w:szCs w:val="30"/>
        </w:rPr>
        <w:t>．</w:t>
      </w:r>
      <w:r>
        <w:rPr>
          <w:color w:val="auto"/>
          <w:kern w:val="0"/>
          <w:sz w:val="30"/>
          <w:szCs w:val="30"/>
        </w:rPr>
        <w:t>住房和城乡建设部统一在全国公布的不良行为记录，作为我省招标代理机构及项目负责人的不良行为评价依据，在信用评价中按本办法相关标准扣分。</w:t>
      </w:r>
    </w:p>
    <w:p>
      <w:pPr>
        <w:spacing w:line="560" w:lineRule="exact"/>
        <w:ind w:firstLine="584" w:firstLineChars="200"/>
        <w:rPr>
          <w:rFonts w:hint="default"/>
          <w:color w:val="auto"/>
          <w:kern w:val="0"/>
          <w:sz w:val="30"/>
          <w:szCs w:val="30"/>
          <w:lang w:val="en-US" w:eastAsia="zh-CN"/>
        </w:rPr>
      </w:pPr>
      <w:r>
        <w:rPr>
          <w:color w:val="auto"/>
          <w:kern w:val="0"/>
          <w:sz w:val="30"/>
          <w:szCs w:val="30"/>
        </w:rPr>
        <w:t>5</w:t>
      </w:r>
      <w:r>
        <w:rPr>
          <w:rFonts w:hint="eastAsia"/>
          <w:color w:val="auto"/>
          <w:kern w:val="0"/>
          <w:sz w:val="30"/>
          <w:szCs w:val="30"/>
        </w:rPr>
        <w:t>．</w:t>
      </w:r>
      <w:r>
        <w:rPr>
          <w:color w:val="auto"/>
          <w:kern w:val="0"/>
          <w:sz w:val="30"/>
          <w:szCs w:val="30"/>
        </w:rPr>
        <w:t>项目负责人信用评价不涉及企业纳税信用、资信评定</w:t>
      </w:r>
      <w:r>
        <w:rPr>
          <w:rFonts w:hint="eastAsia"/>
          <w:color w:val="auto"/>
          <w:kern w:val="0"/>
          <w:sz w:val="30"/>
          <w:szCs w:val="30"/>
          <w:lang w:eastAsia="zh-CN"/>
        </w:rPr>
        <w:t>、</w:t>
      </w:r>
      <w:r>
        <w:rPr>
          <w:rFonts w:hint="eastAsia"/>
          <w:color w:val="auto"/>
          <w:kern w:val="0"/>
          <w:sz w:val="30"/>
          <w:szCs w:val="30"/>
          <w:lang w:val="en-US" w:eastAsia="zh-CN"/>
        </w:rPr>
        <w:t>核查通报三</w:t>
      </w:r>
      <w:r>
        <w:rPr>
          <w:color w:val="auto"/>
          <w:kern w:val="0"/>
          <w:sz w:val="30"/>
          <w:szCs w:val="30"/>
        </w:rPr>
        <w:t>项内容，</w:t>
      </w:r>
      <w:r>
        <w:rPr>
          <w:rFonts w:hint="eastAsia"/>
          <w:color w:val="auto"/>
          <w:kern w:val="0"/>
          <w:sz w:val="30"/>
          <w:szCs w:val="30"/>
          <w:lang w:val="en-US" w:eastAsia="zh-CN"/>
        </w:rPr>
        <w:t>其中</w:t>
      </w:r>
      <w:r>
        <w:rPr>
          <w:color w:val="auto"/>
          <w:kern w:val="0"/>
          <w:sz w:val="30"/>
          <w:szCs w:val="30"/>
        </w:rPr>
        <w:t>纳税信用、资信评定按满分计</w:t>
      </w:r>
      <w:r>
        <w:rPr>
          <w:rFonts w:hint="eastAsia"/>
          <w:color w:val="auto"/>
          <w:kern w:val="0"/>
          <w:sz w:val="30"/>
          <w:szCs w:val="30"/>
          <w:lang w:val="en-US" w:eastAsia="zh-CN"/>
        </w:rPr>
        <w:t>。</w:t>
      </w:r>
    </w:p>
    <w:p>
      <w:pPr>
        <w:spacing w:line="560" w:lineRule="exact"/>
        <w:ind w:firstLine="584" w:firstLineChars="200"/>
        <w:rPr>
          <w:color w:val="auto"/>
          <w:kern w:val="0"/>
          <w:sz w:val="30"/>
          <w:szCs w:val="30"/>
        </w:rPr>
      </w:pPr>
      <w:r>
        <w:rPr>
          <w:color w:val="auto"/>
          <w:kern w:val="0"/>
          <w:sz w:val="30"/>
          <w:szCs w:val="30"/>
        </w:rPr>
        <w:t>6</w:t>
      </w:r>
      <w:r>
        <w:rPr>
          <w:rFonts w:hint="eastAsia"/>
          <w:color w:val="auto"/>
          <w:kern w:val="0"/>
          <w:sz w:val="30"/>
          <w:szCs w:val="30"/>
        </w:rPr>
        <w:t>．</w:t>
      </w:r>
      <w:r>
        <w:rPr>
          <w:color w:val="auto"/>
          <w:kern w:val="0"/>
          <w:sz w:val="30"/>
          <w:szCs w:val="30"/>
        </w:rPr>
        <w:t>招标代理机构报送纳税信用等级、司法制裁信息，</w:t>
      </w:r>
      <w:r>
        <w:rPr>
          <w:rFonts w:hint="eastAsia"/>
          <w:color w:val="auto"/>
          <w:kern w:val="0"/>
          <w:sz w:val="30"/>
          <w:szCs w:val="30"/>
          <w:lang w:val="en-US" w:eastAsia="zh-CN"/>
        </w:rPr>
        <w:t>应</w:t>
      </w:r>
      <w:r>
        <w:rPr>
          <w:color w:val="auto"/>
          <w:kern w:val="0"/>
          <w:sz w:val="30"/>
          <w:szCs w:val="30"/>
        </w:rPr>
        <w:t>同时上传相关文件或其他证明材料。</w:t>
      </w:r>
    </w:p>
    <w:p>
      <w:pPr>
        <w:rPr>
          <w:rFonts w:hint="eastAsia" w:ascii="宋体" w:hAnsi="宋体" w:eastAsia="宋体" w:cs="宋体"/>
          <w:b/>
          <w:bCs w:val="0"/>
          <w:color w:val="auto"/>
          <w:kern w:val="0"/>
          <w:sz w:val="36"/>
          <w:szCs w:val="36"/>
        </w:rPr>
      </w:pPr>
      <w:r>
        <w:rPr>
          <w:rFonts w:hint="eastAsia" w:ascii="黑体" w:hAnsi="黑体" w:eastAsia="黑体"/>
          <w:color w:val="auto"/>
        </w:rPr>
        <w:t>附件</w:t>
      </w:r>
      <w:r>
        <w:rPr>
          <w:rFonts w:hint="eastAsia" w:ascii="黑体" w:hAnsi="黑体" w:eastAsia="黑体"/>
          <w:color w:val="auto"/>
          <w:lang w:val="en-US" w:eastAsia="zh-CN"/>
        </w:rPr>
        <w:t xml:space="preserve">3           </w:t>
      </w:r>
      <w:r>
        <w:rPr>
          <w:rFonts w:hint="eastAsia" w:ascii="宋体" w:hAnsi="宋体" w:eastAsia="宋体" w:cs="宋体"/>
          <w:b/>
          <w:bCs w:val="0"/>
          <w:color w:val="auto"/>
          <w:kern w:val="0"/>
          <w:sz w:val="36"/>
          <w:szCs w:val="36"/>
        </w:rPr>
        <w:t>湖南省房屋建筑和市政基础设施工程建设项目</w:t>
      </w:r>
    </w:p>
    <w:p>
      <w:pPr>
        <w:jc w:val="center"/>
        <w:rPr>
          <w:rFonts w:hint="eastAsia" w:ascii="宋体" w:hAnsi="宋体" w:eastAsia="宋体" w:cs="宋体"/>
          <w:b/>
          <w:bCs w:val="0"/>
          <w:color w:val="auto"/>
          <w:kern w:val="0"/>
          <w:sz w:val="36"/>
          <w:szCs w:val="36"/>
        </w:rPr>
      </w:pPr>
      <w:r>
        <w:rPr>
          <w:rFonts w:hint="eastAsia" w:ascii="宋体" w:hAnsi="宋体" w:eastAsia="宋体" w:cs="宋体"/>
          <w:b/>
          <w:bCs w:val="0"/>
          <w:color w:val="auto"/>
          <w:kern w:val="0"/>
          <w:sz w:val="36"/>
          <w:szCs w:val="36"/>
        </w:rPr>
        <w:t>招标代理机构及项目负责人信用评价数据信息的采集依据和主体</w:t>
      </w:r>
    </w:p>
    <w:p>
      <w:pPr>
        <w:jc w:val="center"/>
        <w:rPr>
          <w:rFonts w:hint="eastAsia" w:ascii="宋体" w:hAnsi="宋体" w:eastAsia="宋体" w:cs="宋体"/>
          <w:b/>
          <w:bCs w:val="0"/>
          <w:color w:val="auto"/>
          <w:kern w:val="0"/>
          <w:sz w:val="36"/>
          <w:szCs w:val="36"/>
        </w:rPr>
      </w:pPr>
    </w:p>
    <w:tbl>
      <w:tblPr>
        <w:tblStyle w:val="6"/>
        <w:tblW w:w="14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830"/>
        <w:gridCol w:w="3338"/>
        <w:gridCol w:w="3253"/>
        <w:gridCol w:w="5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blHeader/>
          <w:jc w:val="center"/>
        </w:trPr>
        <w:tc>
          <w:tcPr>
            <w:tcW w:w="877" w:type="dxa"/>
            <w:vAlign w:val="center"/>
          </w:tcPr>
          <w:p>
            <w:pPr>
              <w:tabs>
                <w:tab w:val="left" w:pos="3340"/>
              </w:tabs>
              <w:jc w:val="center"/>
              <w:rPr>
                <w:rFonts w:eastAsiaTheme="minorEastAsia"/>
                <w:b/>
                <w:bCs/>
                <w:color w:val="auto"/>
                <w:sz w:val="24"/>
                <w:szCs w:val="24"/>
              </w:rPr>
            </w:pPr>
            <w:r>
              <w:rPr>
                <w:rFonts w:eastAsiaTheme="minorEastAsia"/>
                <w:b/>
                <w:bCs/>
                <w:color w:val="auto"/>
                <w:sz w:val="24"/>
                <w:szCs w:val="24"/>
              </w:rPr>
              <w:t>序号</w:t>
            </w:r>
          </w:p>
        </w:tc>
        <w:tc>
          <w:tcPr>
            <w:tcW w:w="1830" w:type="dxa"/>
            <w:vAlign w:val="center"/>
          </w:tcPr>
          <w:p>
            <w:pPr>
              <w:tabs>
                <w:tab w:val="left" w:pos="3340"/>
              </w:tabs>
              <w:jc w:val="center"/>
              <w:rPr>
                <w:rFonts w:eastAsiaTheme="minorEastAsia"/>
                <w:b/>
                <w:bCs/>
                <w:color w:val="auto"/>
                <w:sz w:val="24"/>
                <w:szCs w:val="24"/>
              </w:rPr>
            </w:pPr>
            <w:r>
              <w:rPr>
                <w:rFonts w:eastAsiaTheme="minorEastAsia"/>
                <w:b/>
                <w:bCs/>
                <w:color w:val="auto"/>
                <w:sz w:val="24"/>
                <w:szCs w:val="24"/>
              </w:rPr>
              <w:t>信息数据</w:t>
            </w:r>
          </w:p>
        </w:tc>
        <w:tc>
          <w:tcPr>
            <w:tcW w:w="3338" w:type="dxa"/>
            <w:vAlign w:val="center"/>
          </w:tcPr>
          <w:p>
            <w:pPr>
              <w:tabs>
                <w:tab w:val="left" w:pos="3340"/>
              </w:tabs>
              <w:jc w:val="center"/>
              <w:rPr>
                <w:rFonts w:eastAsiaTheme="minorEastAsia"/>
                <w:b/>
                <w:bCs/>
                <w:color w:val="auto"/>
                <w:sz w:val="24"/>
                <w:szCs w:val="24"/>
              </w:rPr>
            </w:pPr>
            <w:r>
              <w:rPr>
                <w:rFonts w:eastAsiaTheme="minorEastAsia"/>
                <w:b/>
                <w:bCs/>
                <w:color w:val="auto"/>
                <w:sz w:val="24"/>
                <w:szCs w:val="24"/>
              </w:rPr>
              <w:t>采集依据</w:t>
            </w:r>
          </w:p>
        </w:tc>
        <w:tc>
          <w:tcPr>
            <w:tcW w:w="3253" w:type="dxa"/>
            <w:vAlign w:val="center"/>
          </w:tcPr>
          <w:p>
            <w:pPr>
              <w:tabs>
                <w:tab w:val="left" w:pos="3340"/>
              </w:tabs>
              <w:jc w:val="center"/>
              <w:rPr>
                <w:rFonts w:eastAsiaTheme="minorEastAsia"/>
                <w:b/>
                <w:bCs/>
                <w:color w:val="auto"/>
                <w:sz w:val="24"/>
                <w:szCs w:val="24"/>
              </w:rPr>
            </w:pPr>
            <w:r>
              <w:rPr>
                <w:rFonts w:eastAsiaTheme="minorEastAsia"/>
                <w:b/>
                <w:bCs/>
                <w:color w:val="auto"/>
                <w:sz w:val="24"/>
                <w:szCs w:val="24"/>
              </w:rPr>
              <w:t>采集主体</w:t>
            </w:r>
          </w:p>
        </w:tc>
        <w:tc>
          <w:tcPr>
            <w:tcW w:w="5172" w:type="dxa"/>
            <w:vAlign w:val="center"/>
          </w:tcPr>
          <w:p>
            <w:pPr>
              <w:tabs>
                <w:tab w:val="left" w:pos="3340"/>
              </w:tabs>
              <w:jc w:val="center"/>
              <w:rPr>
                <w:rFonts w:eastAsiaTheme="minorEastAsia"/>
                <w:b/>
                <w:bCs/>
                <w:color w:val="auto"/>
                <w:sz w:val="24"/>
                <w:szCs w:val="24"/>
              </w:rPr>
            </w:pPr>
            <w:r>
              <w:rPr>
                <w:rFonts w:eastAsiaTheme="minorEastAsia"/>
                <w:b/>
                <w:bCs/>
                <w:color w:val="auto"/>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77" w:type="dxa"/>
            <w:vAlign w:val="center"/>
          </w:tcPr>
          <w:p>
            <w:pPr>
              <w:tabs>
                <w:tab w:val="left" w:pos="3340"/>
              </w:tabs>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1</w:t>
            </w:r>
          </w:p>
        </w:tc>
        <w:tc>
          <w:tcPr>
            <w:tcW w:w="1830" w:type="dxa"/>
            <w:vAlign w:val="center"/>
          </w:tcPr>
          <w:p>
            <w:pPr>
              <w:jc w:val="center"/>
              <w:rPr>
                <w:rFonts w:hint="eastAsia" w:ascii="仿宋" w:hAnsi="仿宋" w:eastAsia="仿宋" w:cs="仿宋"/>
                <w:color w:val="auto"/>
                <w:sz w:val="24"/>
                <w:szCs w:val="24"/>
              </w:rPr>
            </w:pPr>
            <w:r>
              <w:rPr>
                <w:rFonts w:hint="eastAsia" w:ascii="仿宋" w:hAnsi="仿宋" w:eastAsia="仿宋" w:cs="仿宋"/>
                <w:color w:val="auto"/>
                <w:sz w:val="24"/>
                <w:szCs w:val="24"/>
              </w:rPr>
              <w:t>经营业绩</w:t>
            </w:r>
          </w:p>
        </w:tc>
        <w:tc>
          <w:tcPr>
            <w:tcW w:w="3338"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 xml:space="preserve">招标代理项目宗数       </w:t>
            </w:r>
          </w:p>
        </w:tc>
        <w:tc>
          <w:tcPr>
            <w:tcW w:w="3253"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平台通过业务流程自动采集</w:t>
            </w:r>
          </w:p>
        </w:tc>
        <w:tc>
          <w:tcPr>
            <w:tcW w:w="5172"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宗数是指招标代理项目所编制的招标文件数量，时间以中标通知书产生之日计算。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877" w:type="dxa"/>
            <w:vAlign w:val="center"/>
          </w:tcPr>
          <w:p>
            <w:pPr>
              <w:tabs>
                <w:tab w:val="left" w:pos="3340"/>
              </w:tabs>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2</w:t>
            </w:r>
          </w:p>
        </w:tc>
        <w:tc>
          <w:tcPr>
            <w:tcW w:w="1830" w:type="dxa"/>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考评合格率</w:t>
            </w:r>
          </w:p>
        </w:tc>
        <w:tc>
          <w:tcPr>
            <w:tcW w:w="3338" w:type="dxa"/>
            <w:vAlign w:val="center"/>
          </w:tcPr>
          <w:p>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规范化考评公告</w:t>
            </w:r>
          </w:p>
        </w:tc>
        <w:tc>
          <w:tcPr>
            <w:tcW w:w="3253"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rPr>
              <w:t>平台通过业务流程自动采集</w:t>
            </w:r>
          </w:p>
        </w:tc>
        <w:tc>
          <w:tcPr>
            <w:tcW w:w="5172" w:type="dxa"/>
            <w:vAlign w:val="center"/>
          </w:tcPr>
          <w:p>
            <w:pP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考评合格率＝近一年招标代理合格项目宗数/近一年招标代理项目宗数。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877" w:type="dxa"/>
            <w:vAlign w:val="center"/>
          </w:tcPr>
          <w:p>
            <w:pPr>
              <w:tabs>
                <w:tab w:val="left" w:pos="3340"/>
              </w:tabs>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3</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纳税信用</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企业纳税信用评价信息表</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招标代理机构报送采集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省外入湘企业在湘设立多处分公司的，由其自行确认其中一处作为注册地，并予固定。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877" w:type="dxa"/>
            <w:vAlign w:val="center"/>
          </w:tcPr>
          <w:p>
            <w:pPr>
              <w:tabs>
                <w:tab w:val="left" w:pos="3340"/>
              </w:tabs>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w:t>
            </w:r>
          </w:p>
        </w:tc>
        <w:tc>
          <w:tcPr>
            <w:tcW w:w="1830" w:type="dxa"/>
            <w:vAlign w:val="center"/>
          </w:tcPr>
          <w:p>
            <w:pPr>
              <w:jc w:val="cente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资信评定</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招标代理机构资信等级评定发文</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省住房城乡建设</w:t>
            </w:r>
            <w:r>
              <w:rPr>
                <w:rFonts w:hint="eastAsia" w:ascii="仿宋" w:hAnsi="仿宋" w:eastAsia="仿宋" w:cs="仿宋"/>
                <w:color w:val="auto"/>
                <w:sz w:val="24"/>
                <w:szCs w:val="24"/>
                <w:lang w:val="en-US" w:eastAsia="zh-CN"/>
              </w:rPr>
              <w:t>主管部门</w:t>
            </w:r>
            <w:r>
              <w:rPr>
                <w:rFonts w:hint="eastAsia" w:ascii="仿宋" w:hAnsi="仿宋" w:eastAsia="仿宋" w:cs="仿宋"/>
                <w:color w:val="auto"/>
                <w:sz w:val="24"/>
                <w:szCs w:val="24"/>
              </w:rPr>
              <w:t>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省建设工程招投标行业协会组织的招标代理机构资信等级评定。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5</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行业荣誉</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“信用评价领先奖”</w:t>
            </w:r>
            <w:r>
              <w:rPr>
                <w:rFonts w:hint="eastAsia" w:ascii="仿宋" w:hAnsi="仿宋" w:eastAsia="仿宋" w:cs="仿宋"/>
                <w:color w:val="auto"/>
                <w:sz w:val="24"/>
                <w:szCs w:val="24"/>
              </w:rPr>
              <w:t>通报表彰</w:t>
            </w:r>
          </w:p>
        </w:tc>
        <w:tc>
          <w:tcPr>
            <w:tcW w:w="3253"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市、州以上住房城乡建设主管部门</w:t>
            </w:r>
            <w:r>
              <w:rPr>
                <w:rFonts w:hint="eastAsia" w:ascii="仿宋" w:hAnsi="仿宋" w:eastAsia="仿宋" w:cs="仿宋"/>
                <w:color w:val="auto"/>
                <w:sz w:val="24"/>
                <w:szCs w:val="24"/>
                <w:lang w:val="en-US" w:eastAsia="zh-CN"/>
              </w:rPr>
              <w:t>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限于市州以上住房城乡建设主管部门或建设工程招投标行业协会</w:t>
            </w:r>
            <w:r>
              <w:rPr>
                <w:rFonts w:hint="eastAsia" w:ascii="仿宋" w:hAnsi="仿宋" w:eastAsia="仿宋" w:cs="仿宋"/>
                <w:color w:val="auto"/>
                <w:sz w:val="24"/>
                <w:szCs w:val="24"/>
                <w:lang w:val="en-US" w:eastAsia="zh-CN"/>
              </w:rPr>
              <w:t>颁发的</w:t>
            </w:r>
            <w:r>
              <w:rPr>
                <w:rFonts w:hint="eastAsia" w:ascii="仿宋" w:hAnsi="仿宋" w:eastAsia="仿宋" w:cs="仿宋"/>
                <w:color w:val="auto"/>
                <w:sz w:val="24"/>
                <w:szCs w:val="24"/>
                <w:lang w:val="en-US" w:eastAsia="zh-CN"/>
              </w:rPr>
              <w:t>“信用评价领先奖”。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6</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行业抽查</w:t>
            </w:r>
          </w:p>
        </w:tc>
        <w:tc>
          <w:tcPr>
            <w:tcW w:w="3338"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招标文件抽查、标后稽查情况通报</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省住房城乡建设主管部门采集</w:t>
            </w:r>
          </w:p>
        </w:tc>
        <w:tc>
          <w:tcPr>
            <w:tcW w:w="5172"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限于省住房城乡建设主管部门的季度招标文件抽查或标后稽查。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7</w:t>
            </w:r>
          </w:p>
        </w:tc>
        <w:tc>
          <w:tcPr>
            <w:tcW w:w="1830" w:type="dxa"/>
            <w:vAlign w:val="center"/>
          </w:tcPr>
          <w:p>
            <w:pPr>
              <w:jc w:val="cente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失信黑名单</w:t>
            </w:r>
          </w:p>
        </w:tc>
        <w:tc>
          <w:tcPr>
            <w:tcW w:w="3338" w:type="dxa"/>
            <w:vAlign w:val="center"/>
          </w:tcPr>
          <w:p>
            <w:pPr>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省住房城乡建设主管部门公布的失信黑名单</w:t>
            </w:r>
          </w:p>
        </w:tc>
        <w:tc>
          <w:tcPr>
            <w:tcW w:w="3253" w:type="dxa"/>
            <w:vAlign w:val="center"/>
          </w:tcPr>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省住房城乡建设主管部门采集</w:t>
            </w:r>
          </w:p>
        </w:tc>
        <w:tc>
          <w:tcPr>
            <w:tcW w:w="5172" w:type="dxa"/>
            <w:vAlign w:val="center"/>
          </w:tcPr>
          <w:p>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限于省住房城乡建设主管部门统一公布的失信黑名单。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8</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司法制裁</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司法制裁判决文书或失信被执行人名单</w:t>
            </w:r>
          </w:p>
        </w:tc>
        <w:tc>
          <w:tcPr>
            <w:tcW w:w="3253"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招标代理机构报送或</w:t>
            </w:r>
            <w:r>
              <w:rPr>
                <w:rFonts w:hint="eastAsia" w:ascii="仿宋" w:hAnsi="仿宋" w:eastAsia="仿宋" w:cs="仿宋"/>
                <w:color w:val="auto"/>
                <w:sz w:val="24"/>
                <w:szCs w:val="24"/>
              </w:rPr>
              <w:t>县级以上住房城乡建设主管部门</w:t>
            </w:r>
            <w:r>
              <w:rPr>
                <w:rFonts w:hint="eastAsia" w:ascii="仿宋" w:hAnsi="仿宋" w:eastAsia="仿宋" w:cs="仿宋"/>
                <w:color w:val="auto"/>
                <w:sz w:val="24"/>
                <w:szCs w:val="24"/>
                <w:lang w:val="en-US" w:eastAsia="zh-CN"/>
              </w:rPr>
              <w:t>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招标代理机构按时申报的，评价系统按评价标准扣分；不按时申报的，评价系统按评价标准的扣分值加倍执行。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9</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行政处</w:t>
            </w:r>
            <w:r>
              <w:rPr>
                <w:rFonts w:hint="eastAsia" w:ascii="仿宋" w:hAnsi="仿宋" w:eastAsia="仿宋" w:cs="仿宋"/>
                <w:color w:val="auto"/>
                <w:sz w:val="24"/>
                <w:szCs w:val="24"/>
                <w:lang w:val="en-US" w:eastAsia="zh-CN"/>
              </w:rPr>
              <w:t>罚</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行政处罚决定书</w:t>
            </w:r>
          </w:p>
        </w:tc>
        <w:tc>
          <w:tcPr>
            <w:tcW w:w="3253"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县级以上住房城乡建设主管部门</w:t>
            </w:r>
            <w:r>
              <w:rPr>
                <w:rFonts w:hint="eastAsia" w:ascii="仿宋" w:hAnsi="仿宋" w:eastAsia="仿宋" w:cs="仿宋"/>
                <w:color w:val="auto"/>
                <w:sz w:val="24"/>
                <w:szCs w:val="24"/>
                <w:lang w:val="en-US" w:eastAsia="zh-CN"/>
              </w:rPr>
              <w:t>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限于县级以上住房城乡建设主管部门行政处</w:t>
            </w:r>
            <w:r>
              <w:rPr>
                <w:rFonts w:hint="eastAsia" w:ascii="仿宋" w:hAnsi="仿宋" w:eastAsia="仿宋" w:cs="仿宋"/>
                <w:color w:val="auto"/>
                <w:sz w:val="24"/>
                <w:szCs w:val="24"/>
                <w:lang w:val="en-US" w:eastAsia="zh-CN"/>
              </w:rPr>
              <w:t>罚</w:t>
            </w:r>
            <w:r>
              <w:rPr>
                <w:rFonts w:hint="eastAsia" w:ascii="仿宋" w:hAnsi="仿宋" w:eastAsia="仿宋" w:cs="仿宋"/>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10</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不良行为</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不良行为记录文件</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省住房城乡建设</w:t>
            </w:r>
            <w:r>
              <w:rPr>
                <w:rFonts w:hint="eastAsia" w:ascii="仿宋" w:hAnsi="仿宋" w:eastAsia="仿宋" w:cs="仿宋"/>
                <w:color w:val="auto"/>
                <w:sz w:val="24"/>
                <w:szCs w:val="24"/>
                <w:lang w:val="en-US" w:eastAsia="zh-CN"/>
              </w:rPr>
              <w:t>主管部门</w:t>
            </w:r>
            <w:r>
              <w:rPr>
                <w:rFonts w:hint="eastAsia" w:ascii="仿宋" w:hAnsi="仿宋" w:eastAsia="仿宋" w:cs="仿宋"/>
                <w:color w:val="auto"/>
                <w:sz w:val="24"/>
                <w:szCs w:val="24"/>
              </w:rPr>
              <w:t>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以</w:t>
            </w:r>
            <w:r>
              <w:rPr>
                <w:rFonts w:hint="eastAsia" w:ascii="仿宋" w:hAnsi="仿宋" w:eastAsia="仿宋" w:cs="仿宋"/>
                <w:color w:val="auto"/>
                <w:sz w:val="24"/>
                <w:szCs w:val="24"/>
              </w:rPr>
              <w:t>省住房城乡建设主管部门发布的不良行为记录</w:t>
            </w:r>
            <w:r>
              <w:rPr>
                <w:rFonts w:hint="eastAsia" w:ascii="仿宋" w:hAnsi="仿宋" w:eastAsia="仿宋" w:cs="仿宋"/>
                <w:color w:val="auto"/>
                <w:sz w:val="24"/>
                <w:szCs w:val="24"/>
                <w:lang w:val="en-US" w:eastAsia="zh-CN"/>
              </w:rPr>
              <w:t>为准</w:t>
            </w:r>
            <w:r>
              <w:rPr>
                <w:rFonts w:hint="eastAsia" w:ascii="仿宋" w:hAnsi="仿宋" w:eastAsia="仿宋" w:cs="仿宋"/>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kern w:val="2"/>
                <w:sz w:val="24"/>
                <w:szCs w:val="24"/>
                <w:lang w:val="en-US" w:eastAsia="zh-CN" w:bidi="ar-SA"/>
              </w:rPr>
              <w:t>11</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规范化考评</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招标代理规范化考评结果</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平台通过业务流程自动采集</w:t>
            </w:r>
          </w:p>
        </w:tc>
        <w:tc>
          <w:tcPr>
            <w:tcW w:w="5172" w:type="dxa"/>
            <w:vAlign w:val="center"/>
          </w:tcPr>
          <w:p>
            <w:pPr>
              <w:rPr>
                <w:rFonts w:hint="default"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以每</w:t>
            </w:r>
            <w:r>
              <w:rPr>
                <w:rFonts w:hint="eastAsia" w:ascii="仿宋" w:hAnsi="仿宋" w:eastAsia="仿宋" w:cs="仿宋"/>
                <w:color w:val="auto"/>
                <w:sz w:val="24"/>
                <w:szCs w:val="24"/>
                <w:lang w:eastAsia="zh-CN"/>
              </w:rPr>
              <w:t>季度规范化考评公</w:t>
            </w:r>
            <w:r>
              <w:rPr>
                <w:rFonts w:hint="eastAsia" w:ascii="仿宋" w:hAnsi="仿宋" w:eastAsia="仿宋" w:cs="仿宋"/>
                <w:color w:val="auto"/>
                <w:sz w:val="24"/>
                <w:szCs w:val="24"/>
                <w:lang w:val="en-US" w:eastAsia="zh-CN"/>
              </w:rPr>
              <w:t>告发布为准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jc w:val="center"/>
        </w:trPr>
        <w:tc>
          <w:tcPr>
            <w:tcW w:w="877" w:type="dxa"/>
            <w:vAlign w:val="center"/>
          </w:tcPr>
          <w:p>
            <w:pPr>
              <w:tabs>
                <w:tab w:val="left" w:pos="3340"/>
              </w:tabs>
              <w:jc w:val="center"/>
              <w:rPr>
                <w:rFonts w:hint="default" w:ascii="仿宋" w:hAnsi="仿宋" w:eastAsia="仿宋" w:cs="仿宋"/>
                <w:bCs/>
                <w:color w:val="auto"/>
                <w:kern w:val="2"/>
                <w:sz w:val="24"/>
                <w:szCs w:val="24"/>
                <w:lang w:val="en-US" w:eastAsia="zh-CN" w:bidi="ar-SA"/>
              </w:rPr>
            </w:pPr>
            <w:r>
              <w:rPr>
                <w:rFonts w:hint="eastAsia" w:ascii="仿宋" w:hAnsi="仿宋" w:eastAsia="仿宋" w:cs="仿宋"/>
                <w:bCs/>
                <w:color w:val="auto"/>
                <w:sz w:val="24"/>
                <w:szCs w:val="24"/>
                <w:lang w:val="en-US" w:eastAsia="zh-CN"/>
              </w:rPr>
              <w:t>12</w:t>
            </w:r>
          </w:p>
        </w:tc>
        <w:tc>
          <w:tcPr>
            <w:tcW w:w="1830" w:type="dxa"/>
            <w:vAlign w:val="center"/>
          </w:tcPr>
          <w:p>
            <w:pPr>
              <w:jc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核查通报</w:t>
            </w:r>
          </w:p>
        </w:tc>
        <w:tc>
          <w:tcPr>
            <w:tcW w:w="3338"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人员信息核查通报</w:t>
            </w:r>
          </w:p>
        </w:tc>
        <w:tc>
          <w:tcPr>
            <w:tcW w:w="3253"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rPr>
              <w:t>平台通过业务流程自动采集</w:t>
            </w:r>
          </w:p>
        </w:tc>
        <w:tc>
          <w:tcPr>
            <w:tcW w:w="5172" w:type="dxa"/>
            <w:vAlign w:val="center"/>
          </w:tcPr>
          <w:p>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sz w:val="24"/>
                <w:szCs w:val="24"/>
                <w:lang w:val="en-US" w:eastAsia="zh-CN"/>
              </w:rPr>
              <w:t>以每季度专职人员信息核查通报发布为准</w:t>
            </w:r>
          </w:p>
        </w:tc>
      </w:tr>
    </w:tbl>
    <w:p>
      <w:pPr>
        <w:widowControl/>
        <w:spacing w:line="20" w:lineRule="exact"/>
        <w:jc w:val="left"/>
        <w:rPr>
          <w:color w:val="auto"/>
          <w:kern w:val="0"/>
          <w:szCs w:val="21"/>
        </w:rPr>
      </w:pPr>
    </w:p>
    <w:p>
      <w:pPr>
        <w:rPr>
          <w:color w:val="auto"/>
        </w:rPr>
      </w:pPr>
      <w:bookmarkStart w:id="0" w:name="_GoBack"/>
      <w:bookmarkEnd w:id="0"/>
    </w:p>
    <w:p>
      <w:pPr>
        <w:ind w:firstLine="624" w:firstLineChars="200"/>
        <w:rPr>
          <w:rFonts w:cs="Times New Roman"/>
          <w:color w:val="auto"/>
        </w:rPr>
      </w:pPr>
    </w:p>
    <w:sectPr>
      <w:headerReference r:id="rId7" w:type="default"/>
      <w:footerReference r:id="rId8" w:type="default"/>
      <w:footerReference r:id="rId9" w:type="even"/>
      <w:pgSz w:w="16838" w:h="11906" w:orient="landscape"/>
      <w:pgMar w:top="1907" w:right="2098" w:bottom="1587" w:left="2098" w:header="1361" w:footer="1361" w:gutter="0"/>
      <w:pgNumType w:start="14"/>
      <w:cols w:space="0" w:num="1"/>
      <w:docGrid w:type="linesAndChars" w:linePitch="582"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20" w:leftChars="100" w:right="320" w:rightChars="100"/>
      <w:jc w:val="right"/>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877819960"/>
                          </w:sdtPr>
                          <w:sdtContent>
                            <w:p>
                              <w:pPr>
                                <w:pStyle w:val="3"/>
                                <w:ind w:left="320" w:leftChars="100" w:right="320" w:rightChars="100"/>
                                <w:jc w:val="right"/>
                              </w:pPr>
                              <w:r>
                                <w:rPr>
                                  <w:rFonts w:asciiTheme="majorEastAsia" w:hAnsiTheme="majorEastAsia" w:eastAsiaTheme="majorEastAsia"/>
                                  <w:sz w:val="28"/>
                                  <w:szCs w:val="28"/>
                                </w:rPr>
                                <w:t xml:space="preserve">— </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19</w:t>
                              </w:r>
                              <w:r>
                                <w:rPr>
                                  <w:rFonts w:asciiTheme="majorEastAsia" w:hAnsiTheme="majorEastAsia" w:eastAsiaTheme="majorEastAsia"/>
                                  <w:sz w:val="28"/>
                                  <w:szCs w:val="28"/>
                                </w:rPr>
                                <w:fldChar w:fldCharType="end"/>
                              </w:r>
                              <w:r>
                                <w:rPr>
                                  <w:rFonts w:asciiTheme="majorEastAsia" w:hAnsiTheme="majorEastAsia" w:eastAsiaTheme="majorEastAsia"/>
                                  <w:sz w:val="28"/>
                                  <w:szCs w:val="28"/>
                                </w:rPr>
                                <w:t xml:space="preserve"> </w:t>
                              </w:r>
                              <w:r>
                                <w:rPr>
                                  <w:rFonts w:hint="eastAsia" w:asciiTheme="majorEastAsia" w:hAnsiTheme="majorEastAsia" w:eastAsiaTheme="majorEastAsia"/>
                                  <w:sz w:val="28"/>
                                  <w:szCs w:val="28"/>
                                </w:rPr>
                                <w:t>—</w:t>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sdt>
                    <w:sdtPr>
                      <w:id w:val="1877819960"/>
                    </w:sdtPr>
                    <w:sdtContent>
                      <w:p>
                        <w:pPr>
                          <w:pStyle w:val="3"/>
                          <w:ind w:left="320" w:leftChars="100" w:right="320" w:rightChars="100"/>
                          <w:jc w:val="right"/>
                        </w:pPr>
                        <w:r>
                          <w:rPr>
                            <w:rFonts w:asciiTheme="majorEastAsia" w:hAnsiTheme="majorEastAsia" w:eastAsiaTheme="majorEastAsia"/>
                            <w:sz w:val="28"/>
                            <w:szCs w:val="28"/>
                          </w:rPr>
                          <w:t xml:space="preserve">— </w:t>
                        </w: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PAGE   \* MERGEFORMAT</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19</w:t>
                        </w:r>
                        <w:r>
                          <w:rPr>
                            <w:rFonts w:asciiTheme="majorEastAsia" w:hAnsiTheme="majorEastAsia" w:eastAsiaTheme="majorEastAsia"/>
                            <w:sz w:val="28"/>
                            <w:szCs w:val="28"/>
                          </w:rPr>
                          <w:fldChar w:fldCharType="end"/>
                        </w:r>
                        <w:r>
                          <w:rPr>
                            <w:rFonts w:asciiTheme="majorEastAsia" w:hAnsiTheme="majorEastAsia" w:eastAsiaTheme="majorEastAsia"/>
                            <w:sz w:val="28"/>
                            <w:szCs w:val="28"/>
                          </w:rPr>
                          <w:t xml:space="preserve"> </w:t>
                        </w:r>
                        <w:r>
                          <w:rPr>
                            <w:rFonts w:hint="eastAsia" w:asciiTheme="majorEastAsia" w:hAnsiTheme="majorEastAsia" w:eastAsiaTheme="majorEastAsia"/>
                            <w:sz w:val="28"/>
                            <w:szCs w:val="28"/>
                          </w:rPr>
                          <w:t>—</w:t>
                        </w:r>
                      </w:p>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20" w:leftChars="100" w:right="320" w:rightChars="100"/>
      <w:rPr>
        <w:rFonts w:asciiTheme="minorEastAsia" w:hAnsiTheme="minorEastAsia" w:eastAsia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sdt>
                          <w:sdtPr>
                            <w:id w:val="-1387877454"/>
                          </w:sdtPr>
                          <w:sdtEndPr>
                            <w:rPr>
                              <w:rFonts w:asciiTheme="minorEastAsia" w:hAnsiTheme="minorEastAsia" w:eastAsiaTheme="minorEastAsia"/>
                              <w:sz w:val="28"/>
                              <w:szCs w:val="28"/>
                            </w:rPr>
                          </w:sdtEndPr>
                          <w:sdtContent>
                            <w:p>
                              <w:pPr>
                                <w:pStyle w:val="3"/>
                                <w:ind w:left="320" w:leftChars="100" w:right="320" w:rightChars="100"/>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26</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w:t>
                              </w:r>
                            </w:p>
                          </w:sdtContent>
                        </w:sdt>
                        <w:p>
                          <w:pPr>
                            <w:rPr>
                              <w:rFonts w:asciiTheme="minorEastAsia" w:hAnsiTheme="minorEastAsia" w:eastAsiaTheme="minorEastAsia"/>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jHpww4AgAAb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mMenDDgCAABvBAAADgAAAAAAAAABACAAAAAfAQAAZHJzL2Uyb0RvYy54&#10;bWxQSwUGAAAAAAYABgBZAQAAyQUAAAAA&#10;">
              <v:fill on="f" focussize="0,0"/>
              <v:stroke on="f" weight="0.5pt"/>
              <v:imagedata o:title=""/>
              <o:lock v:ext="edit" aspectratio="f"/>
              <v:textbox inset="0mm,0mm,0mm,0mm" style="mso-fit-shape-to-text:t;">
                <w:txbxContent>
                  <w:sdt>
                    <w:sdtPr>
                      <w:id w:val="-1387877454"/>
                    </w:sdtPr>
                    <w:sdtEndPr>
                      <w:rPr>
                        <w:rFonts w:asciiTheme="minorEastAsia" w:hAnsiTheme="minorEastAsia" w:eastAsiaTheme="minorEastAsia"/>
                        <w:sz w:val="28"/>
                        <w:szCs w:val="28"/>
                      </w:rPr>
                    </w:sdtEndPr>
                    <w:sdtContent>
                      <w:p>
                        <w:pPr>
                          <w:pStyle w:val="3"/>
                          <w:ind w:left="320" w:leftChars="100" w:right="320" w:rightChars="100"/>
                          <w:rPr>
                            <w:rFonts w:asciiTheme="minorEastAsia" w:hAnsiTheme="minorEastAsia" w:eastAsiaTheme="minorEastAsia"/>
                            <w:sz w:val="28"/>
                            <w:szCs w:val="28"/>
                          </w:rPr>
                        </w:pPr>
                        <w:r>
                          <w:rPr>
                            <w:rFonts w:asciiTheme="minorEastAsia" w:hAnsiTheme="minorEastAsia" w:eastAsiaTheme="minorEastAsia"/>
                            <w:sz w:val="28"/>
                            <w:szCs w:val="28"/>
                          </w:rPr>
                          <w:t xml:space="preserve">—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26</w:t>
                        </w:r>
                        <w:r>
                          <w:rPr>
                            <w:rFonts w:asciiTheme="minorEastAsia" w:hAnsiTheme="minorEastAsia" w:eastAsiaTheme="minorEastAsia"/>
                            <w:sz w:val="28"/>
                            <w:szCs w:val="28"/>
                          </w:rPr>
                          <w:fldChar w:fldCharType="end"/>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w:t>
                        </w:r>
                      </w:p>
                    </w:sdtContent>
                  </w:sdt>
                  <w:p>
                    <w:pPr>
                      <w:rPr>
                        <w:rFonts w:asciiTheme="minorEastAsia" w:hAnsiTheme="minorEastAsia" w:eastAsiaTheme="minorEastAsia"/>
                        <w:sz w:val="28"/>
                        <w:szCs w:val="2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20" w:leftChars="100" w:right="320" w:rightChars="100"/>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320" w:leftChars="100" w:right="320" w:rightChars="100"/>
                            <w:jc w:val="right"/>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15</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ind w:left="320" w:leftChars="100" w:right="320" w:rightChars="100"/>
                      <w:jc w:val="right"/>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15</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320" w:leftChars="100" w:right="320" w:rightChars="100"/>
      <w:rPr>
        <w:rFonts w:ascii="宋体" w:hAnsi="宋体" w:eastAsia="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320" w:leftChars="100" w:right="320" w:rightChars="100"/>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16</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ind w:left="320" w:leftChars="100" w:right="320" w:rightChars="100"/>
                    </w:pPr>
                    <w:r>
                      <w:rPr>
                        <w:rFonts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16</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57589"/>
    <w:multiLevelType w:val="singleLevel"/>
    <w:tmpl w:val="0E85758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56"/>
  <w:drawingGridVerticalSpacing w:val="549"/>
  <w:displayHorizontalDrawingGridEvery w:val="2"/>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kNDc0MjA1NzcwOTc1NzlhODk4ZGM5YmExMjY3YzYifQ=="/>
  </w:docVars>
  <w:rsids>
    <w:rsidRoot w:val="00A12C76"/>
    <w:rsid w:val="0001194B"/>
    <w:rsid w:val="00023231"/>
    <w:rsid w:val="0004350F"/>
    <w:rsid w:val="0007693D"/>
    <w:rsid w:val="0007738C"/>
    <w:rsid w:val="00102036"/>
    <w:rsid w:val="00116A2C"/>
    <w:rsid w:val="001370CE"/>
    <w:rsid w:val="00150D4D"/>
    <w:rsid w:val="00162AF7"/>
    <w:rsid w:val="00180C7C"/>
    <w:rsid w:val="00197364"/>
    <w:rsid w:val="001C2D2C"/>
    <w:rsid w:val="001D05F8"/>
    <w:rsid w:val="00213A0D"/>
    <w:rsid w:val="002E0C20"/>
    <w:rsid w:val="002E7FF3"/>
    <w:rsid w:val="00310B56"/>
    <w:rsid w:val="003366E0"/>
    <w:rsid w:val="00355E59"/>
    <w:rsid w:val="00366A5D"/>
    <w:rsid w:val="003905A7"/>
    <w:rsid w:val="00421392"/>
    <w:rsid w:val="00450995"/>
    <w:rsid w:val="004708A9"/>
    <w:rsid w:val="00483379"/>
    <w:rsid w:val="004C5218"/>
    <w:rsid w:val="004F0226"/>
    <w:rsid w:val="005662A7"/>
    <w:rsid w:val="00595A9C"/>
    <w:rsid w:val="005D6F98"/>
    <w:rsid w:val="005F3F2D"/>
    <w:rsid w:val="006308F4"/>
    <w:rsid w:val="006A738D"/>
    <w:rsid w:val="006B7261"/>
    <w:rsid w:val="006D6FB8"/>
    <w:rsid w:val="007611C8"/>
    <w:rsid w:val="0078574D"/>
    <w:rsid w:val="007A4E89"/>
    <w:rsid w:val="007E24C9"/>
    <w:rsid w:val="007E344A"/>
    <w:rsid w:val="0084635D"/>
    <w:rsid w:val="0085492C"/>
    <w:rsid w:val="008A7BC8"/>
    <w:rsid w:val="008C65E9"/>
    <w:rsid w:val="00903982"/>
    <w:rsid w:val="00920FA3"/>
    <w:rsid w:val="009261DF"/>
    <w:rsid w:val="009640F3"/>
    <w:rsid w:val="00970824"/>
    <w:rsid w:val="00975BA8"/>
    <w:rsid w:val="009B3497"/>
    <w:rsid w:val="00A12C76"/>
    <w:rsid w:val="00A304F1"/>
    <w:rsid w:val="00A40797"/>
    <w:rsid w:val="00A67BF8"/>
    <w:rsid w:val="00A91122"/>
    <w:rsid w:val="00AE24C4"/>
    <w:rsid w:val="00B5226D"/>
    <w:rsid w:val="00B70251"/>
    <w:rsid w:val="00B75092"/>
    <w:rsid w:val="00BA2158"/>
    <w:rsid w:val="00BB2784"/>
    <w:rsid w:val="00BB493D"/>
    <w:rsid w:val="00C4622F"/>
    <w:rsid w:val="00C82B91"/>
    <w:rsid w:val="00C841C0"/>
    <w:rsid w:val="00CB3718"/>
    <w:rsid w:val="00D1597F"/>
    <w:rsid w:val="00D16E80"/>
    <w:rsid w:val="00D363F1"/>
    <w:rsid w:val="00D62691"/>
    <w:rsid w:val="00D918D4"/>
    <w:rsid w:val="00DC4A89"/>
    <w:rsid w:val="00E05C37"/>
    <w:rsid w:val="00E23E8B"/>
    <w:rsid w:val="00E24669"/>
    <w:rsid w:val="00E32C3B"/>
    <w:rsid w:val="00E44A8D"/>
    <w:rsid w:val="00E93100"/>
    <w:rsid w:val="00EE357F"/>
    <w:rsid w:val="00F047A1"/>
    <w:rsid w:val="00F12E67"/>
    <w:rsid w:val="00F45470"/>
    <w:rsid w:val="00F75499"/>
    <w:rsid w:val="00FF6EE5"/>
    <w:rsid w:val="0363147C"/>
    <w:rsid w:val="039C7AE2"/>
    <w:rsid w:val="058C4826"/>
    <w:rsid w:val="061A668B"/>
    <w:rsid w:val="0717117D"/>
    <w:rsid w:val="0AF97D08"/>
    <w:rsid w:val="0C1D04D9"/>
    <w:rsid w:val="0D4C7984"/>
    <w:rsid w:val="0E21219C"/>
    <w:rsid w:val="0E3A1A47"/>
    <w:rsid w:val="0E481E1C"/>
    <w:rsid w:val="0ECD6E78"/>
    <w:rsid w:val="0EED23E5"/>
    <w:rsid w:val="0FE25081"/>
    <w:rsid w:val="132E0162"/>
    <w:rsid w:val="144A4851"/>
    <w:rsid w:val="176E00E4"/>
    <w:rsid w:val="190971DE"/>
    <w:rsid w:val="1CC13899"/>
    <w:rsid w:val="1EA77955"/>
    <w:rsid w:val="1F167976"/>
    <w:rsid w:val="1F3E2EE7"/>
    <w:rsid w:val="1FD33331"/>
    <w:rsid w:val="200A6FA3"/>
    <w:rsid w:val="21321028"/>
    <w:rsid w:val="21C663F8"/>
    <w:rsid w:val="22833117"/>
    <w:rsid w:val="285615E1"/>
    <w:rsid w:val="29537F6D"/>
    <w:rsid w:val="2A530E1F"/>
    <w:rsid w:val="2C7D07E2"/>
    <w:rsid w:val="2E985B55"/>
    <w:rsid w:val="314051FA"/>
    <w:rsid w:val="3164552D"/>
    <w:rsid w:val="32540853"/>
    <w:rsid w:val="34EA4B18"/>
    <w:rsid w:val="35F53997"/>
    <w:rsid w:val="366718B3"/>
    <w:rsid w:val="36DE5C94"/>
    <w:rsid w:val="38320260"/>
    <w:rsid w:val="3AE5506B"/>
    <w:rsid w:val="3EB06FEC"/>
    <w:rsid w:val="408C1990"/>
    <w:rsid w:val="42DE2552"/>
    <w:rsid w:val="444126DD"/>
    <w:rsid w:val="44A4725D"/>
    <w:rsid w:val="47EB48E6"/>
    <w:rsid w:val="47EE35C9"/>
    <w:rsid w:val="48D971CB"/>
    <w:rsid w:val="49BA11E1"/>
    <w:rsid w:val="49F42C26"/>
    <w:rsid w:val="4AE442FF"/>
    <w:rsid w:val="4D3663DE"/>
    <w:rsid w:val="4D920A4D"/>
    <w:rsid w:val="4E402FDD"/>
    <w:rsid w:val="4F534956"/>
    <w:rsid w:val="4FF50E20"/>
    <w:rsid w:val="50280003"/>
    <w:rsid w:val="505F1EFD"/>
    <w:rsid w:val="5125298F"/>
    <w:rsid w:val="51821DB1"/>
    <w:rsid w:val="51A742FE"/>
    <w:rsid w:val="54C170CD"/>
    <w:rsid w:val="57282C45"/>
    <w:rsid w:val="57FB07B8"/>
    <w:rsid w:val="58604AB4"/>
    <w:rsid w:val="5B1F054A"/>
    <w:rsid w:val="5DC03E6D"/>
    <w:rsid w:val="5DCF1811"/>
    <w:rsid w:val="61637CA7"/>
    <w:rsid w:val="637721F3"/>
    <w:rsid w:val="63CA0F2A"/>
    <w:rsid w:val="6636746A"/>
    <w:rsid w:val="67274D54"/>
    <w:rsid w:val="677274B2"/>
    <w:rsid w:val="68E32596"/>
    <w:rsid w:val="6A224836"/>
    <w:rsid w:val="6A2B283E"/>
    <w:rsid w:val="6A3F2512"/>
    <w:rsid w:val="6AC73424"/>
    <w:rsid w:val="6B676DAC"/>
    <w:rsid w:val="6BDD36D8"/>
    <w:rsid w:val="6BFC02A0"/>
    <w:rsid w:val="6D75115B"/>
    <w:rsid w:val="6EDB2524"/>
    <w:rsid w:val="70805EED"/>
    <w:rsid w:val="72AF43A5"/>
    <w:rsid w:val="74FF0D11"/>
    <w:rsid w:val="76D756A4"/>
    <w:rsid w:val="7BA47914"/>
    <w:rsid w:val="7BCC1E0E"/>
    <w:rsid w:val="7C211206"/>
    <w:rsid w:val="7C4A7252"/>
    <w:rsid w:val="7CE76B98"/>
    <w:rsid w:val="7F225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2"/>
      <w:lang w:val="en-US" w:eastAsia="zh-CN" w:bidi="ar-SA"/>
    </w:rPr>
  </w:style>
  <w:style w:type="character" w:default="1" w:styleId="7">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批注框文本 Char"/>
    <w:basedOn w:val="7"/>
    <w:link w:val="2"/>
    <w:semiHidden/>
    <w:qFormat/>
    <w:uiPriority w:val="99"/>
    <w:rPr>
      <w:rFonts w:eastAsia="仿宋_GB2312" w:cstheme="minorBidi"/>
      <w:kern w:val="2"/>
      <w:sz w:val="18"/>
      <w:szCs w:val="18"/>
    </w:rPr>
  </w:style>
  <w:style w:type="character" w:customStyle="1" w:styleId="11">
    <w:name w:val="unnamed11"/>
    <w:qFormat/>
    <w:uiPriority w:val="99"/>
    <w:rPr>
      <w:rFonts w:ascii="宋体" w:eastAsia="宋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2384</Words>
  <Characters>2400</Characters>
  <Lines>14</Lines>
  <Paragraphs>4</Paragraphs>
  <TotalTime>10</TotalTime>
  <ScaleCrop>false</ScaleCrop>
  <LinksUpToDate>false</LinksUpToDate>
  <CharactersWithSpaces>2419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2018-05-02T01:34:00Z</dcterms:created>
  <dc:creator>ZJ</dc:creator>
  <cp:lastModifiedBy>剑可可</cp:lastModifiedBy>
  <cp:lastPrinted>2023-10-09T07:39:00Z</cp:lastPrinted>
  <dcterms:modified xsi:type="dcterms:W3CDTF">2023-10-10T08:21:28Z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AB9BCFE0FFDE45778918F7F9D594DFDE_13</vt:lpwstr>
  </property>
</Properties>
</file>