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黑体" w:hAnsi="黑体" w:eastAsia="黑体"/>
          <w:b w:val="0"/>
          <w:bCs w:val="0"/>
          <w:sz w:val="32"/>
          <w:szCs w:val="32"/>
          <w:lang w:eastAsia="zh-CN"/>
        </w:rPr>
      </w:pPr>
      <w:r>
        <w:rPr>
          <w:rFonts w:hint="eastAsia" w:ascii="黑体" w:hAnsi="黑体" w:eastAsia="黑体"/>
          <w:b w:val="0"/>
          <w:bCs w:val="0"/>
          <w:sz w:val="32"/>
          <w:szCs w:val="32"/>
          <w:lang w:eastAsia="zh-CN"/>
        </w:rPr>
        <w:t>附件</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b/>
          <w:bCs/>
          <w:sz w:val="48"/>
          <w:szCs w:val="48"/>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b/>
          <w:bCs/>
          <w:sz w:val="48"/>
          <w:szCs w:val="48"/>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b/>
          <w:bCs/>
          <w:sz w:val="48"/>
          <w:szCs w:val="48"/>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b/>
          <w:bCs/>
          <w:sz w:val="48"/>
          <w:szCs w:val="48"/>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b/>
          <w:bCs/>
          <w:sz w:val="48"/>
          <w:szCs w:val="48"/>
        </w:rPr>
      </w:pPr>
      <w:r>
        <w:rPr>
          <w:rFonts w:hint="eastAsia" w:ascii="黑体" w:hAnsi="黑体" w:eastAsia="黑体"/>
          <w:b/>
          <w:bCs/>
          <w:sz w:val="48"/>
          <w:szCs w:val="48"/>
        </w:rPr>
        <w:t>湖南省城市基础设施生命线安全工程</w:t>
      </w:r>
    </w:p>
    <w:p>
      <w:pPr>
        <w:widowControl/>
        <w:spacing w:before="312" w:beforeLines="100" w:after="6864" w:afterLines="2200"/>
        <w:ind w:firstLine="0" w:firstLineChars="0"/>
        <w:jc w:val="center"/>
        <w:rPr>
          <w:rFonts w:hint="eastAsia" w:ascii="黑体" w:hAnsi="黑体" w:eastAsia="黑体"/>
          <w:b/>
          <w:bCs/>
          <w:sz w:val="48"/>
          <w:szCs w:val="48"/>
        </w:rPr>
      </w:pPr>
      <w:r>
        <w:rPr>
          <w:rFonts w:hint="eastAsia" w:ascii="黑体" w:hAnsi="黑体" w:eastAsia="黑体"/>
          <w:b/>
          <w:bCs/>
          <w:sz w:val="48"/>
          <w:szCs w:val="48"/>
        </w:rPr>
        <w:t>建设指南（</w:t>
      </w:r>
      <w:r>
        <w:rPr>
          <w:rFonts w:hint="eastAsia" w:ascii="黑体" w:hAnsi="黑体" w:eastAsia="黑体"/>
          <w:b/>
          <w:bCs/>
          <w:sz w:val="48"/>
          <w:szCs w:val="48"/>
          <w:lang w:val="en-US" w:eastAsia="zh-CN"/>
        </w:rPr>
        <w:t>试行</w:t>
      </w:r>
      <w:r>
        <w:rPr>
          <w:rFonts w:hint="eastAsia" w:ascii="黑体" w:hAnsi="黑体" w:eastAsia="黑体"/>
          <w:b/>
          <w:bCs/>
          <w:sz w:val="48"/>
          <w:szCs w:val="48"/>
        </w:rPr>
        <w:t>）</w:t>
      </w:r>
    </w:p>
    <w:p>
      <w:pPr>
        <w:widowControl/>
        <w:spacing w:after="156"/>
        <w:ind w:firstLine="0" w:firstLineChars="0"/>
        <w:jc w:val="center"/>
        <w:rPr>
          <w:rFonts w:hint="eastAsia" w:ascii="黑体" w:hAnsi="黑体" w:eastAsia="黑体"/>
          <w:sz w:val="32"/>
          <w:szCs w:val="32"/>
        </w:rPr>
      </w:pPr>
      <w:r>
        <w:rPr>
          <w:rFonts w:hint="eastAsia" w:ascii="黑体" w:hAnsi="黑体" w:eastAsia="黑体"/>
          <w:sz w:val="32"/>
          <w:szCs w:val="32"/>
        </w:rPr>
        <w:t>湖南省住房和城乡建设厅</w:t>
      </w:r>
    </w:p>
    <w:p>
      <w:pPr>
        <w:widowControl/>
        <w:spacing w:before="312" w:beforeLines="100" w:after="156"/>
        <w:ind w:firstLine="0" w:firstLineChars="0"/>
        <w:jc w:val="center"/>
        <w:rPr>
          <w:rFonts w:hint="eastAsia" w:ascii="黑体" w:hAnsi="黑体" w:eastAsia="黑体"/>
          <w:sz w:val="32"/>
          <w:szCs w:val="32"/>
        </w:rPr>
        <w:sectPr>
          <w:footerReference r:id="rId6" w:type="first"/>
          <w:footerReference r:id="rId5" w:type="even"/>
          <w:pgSz w:w="11906" w:h="16838"/>
          <w:pgMar w:top="1440" w:right="1800" w:bottom="1440" w:left="1800" w:header="851" w:footer="992" w:gutter="0"/>
          <w:cols w:space="425" w:num="1"/>
          <w:docGrid w:type="lines" w:linePitch="312" w:charSpace="0"/>
        </w:sectPr>
      </w:pPr>
      <w:r>
        <w:rPr>
          <w:rFonts w:hint="eastAsia" w:ascii="黑体" w:hAnsi="黑体" w:eastAsia="黑体"/>
          <w:sz w:val="32"/>
          <w:szCs w:val="32"/>
        </w:rPr>
        <w:t>202</w:t>
      </w:r>
      <w:r>
        <w:rPr>
          <w:rFonts w:hint="eastAsia" w:ascii="黑体" w:hAnsi="黑体" w:eastAsia="黑体"/>
          <w:sz w:val="32"/>
          <w:szCs w:val="32"/>
          <w:lang w:val="en-US" w:eastAsia="zh-CN"/>
        </w:rPr>
        <w:t>5</w:t>
      </w:r>
      <w:r>
        <w:rPr>
          <w:rFonts w:hint="eastAsia" w:ascii="黑体" w:hAnsi="黑体" w:eastAsia="黑体"/>
          <w:sz w:val="32"/>
          <w:szCs w:val="32"/>
        </w:rPr>
        <w:t>年</w:t>
      </w:r>
      <w:r>
        <w:rPr>
          <w:rFonts w:hint="eastAsia" w:ascii="黑体" w:hAnsi="黑体" w:eastAsia="黑体"/>
          <w:sz w:val="32"/>
          <w:szCs w:val="32"/>
          <w:lang w:val="en-US" w:eastAsia="zh-CN"/>
        </w:rPr>
        <w:t>1</w:t>
      </w:r>
      <w:r>
        <w:rPr>
          <w:rFonts w:hint="eastAsia" w:ascii="黑体" w:hAnsi="黑体" w:eastAsia="黑体"/>
          <w:sz w:val="32"/>
          <w:szCs w:val="32"/>
        </w:rPr>
        <w:t>月</w:t>
      </w:r>
    </w:p>
    <w:p>
      <w:pPr>
        <w:widowControl/>
        <w:spacing w:before="312" w:beforeLines="100" w:after="156"/>
        <w:ind w:firstLine="0" w:firstLineChars="0"/>
        <w:jc w:val="center"/>
        <w:rPr>
          <w:rFonts w:hint="eastAsia" w:ascii="黑体" w:hAnsi="黑体" w:eastAsia="黑体"/>
          <w:sz w:val="32"/>
          <w:szCs w:val="32"/>
        </w:rPr>
        <w:sectPr>
          <w:pgSz w:w="11906" w:h="16838"/>
          <w:pgMar w:top="1440" w:right="1800" w:bottom="1440" w:left="1800" w:header="851" w:footer="992" w:gutter="0"/>
          <w:cols w:space="425" w:num="1"/>
          <w:docGrid w:type="lines" w:linePitch="312" w:charSpace="0"/>
        </w:sectPr>
      </w:pPr>
    </w:p>
    <w:sdt>
      <w:sdtPr>
        <w:rPr>
          <w:rFonts w:ascii="Times New Roman" w:hAnsi="Times New Roman" w:eastAsia="仿宋" w:cstheme="minorBidi"/>
          <w:color w:val="auto"/>
          <w:kern w:val="2"/>
          <w:sz w:val="30"/>
          <w:szCs w:val="24"/>
          <w:lang w:val="zh-CN"/>
        </w:rPr>
        <w:id w:val="59826995"/>
        <w:docPartObj>
          <w:docPartGallery w:val="Table of Contents"/>
          <w:docPartUnique/>
        </w:docPartObj>
      </w:sdtPr>
      <w:sdtEndPr>
        <w:rPr>
          <w:rFonts w:ascii="Times New Roman" w:hAnsi="Times New Roman" w:eastAsia="仿宋" w:cstheme="minorBidi"/>
          <w:b/>
          <w:bCs/>
          <w:color w:val="auto"/>
          <w:kern w:val="2"/>
          <w:sz w:val="30"/>
          <w:szCs w:val="24"/>
          <w:lang w:val="zh-CN"/>
        </w:rPr>
      </w:sdtEndPr>
      <w:sdtContent>
        <w:p>
          <w:pPr>
            <w:pStyle w:val="53"/>
            <w:spacing w:after="156"/>
            <w:jc w:val="center"/>
            <w:rPr>
              <w:rFonts w:hint="eastAsia" w:ascii="宋体" w:hAnsi="宋体" w:eastAsia="宋体"/>
              <w:b/>
              <w:bCs/>
              <w:color w:val="auto"/>
            </w:rPr>
          </w:pPr>
          <w:r>
            <w:rPr>
              <w:rFonts w:ascii="宋体" w:hAnsi="宋体" w:eastAsia="宋体"/>
              <w:b/>
              <w:bCs/>
              <w:color w:val="auto"/>
              <w:lang w:val="zh-CN"/>
            </w:rPr>
            <w:t>目录</w:t>
          </w:r>
        </w:p>
        <w:p>
          <w:pPr>
            <w:pStyle w:val="18"/>
            <w:tabs>
              <w:tab w:val="right" w:leader="dot" w:pos="8296"/>
            </w:tabs>
            <w:rPr>
              <w:rFonts w:hint="eastAsia" w:asciiTheme="minorHAnsi" w:hAnsiTheme="minorHAnsi" w:eastAsiaTheme="minorEastAsia"/>
              <w:sz w:val="21"/>
              <w:szCs w:val="22"/>
              <w14:ligatures w14:val="standardContextual"/>
            </w:rPr>
          </w:pPr>
          <w:r>
            <w:fldChar w:fldCharType="begin"/>
          </w:r>
          <w:r>
            <w:instrText xml:space="preserve"> TOC \o "1-3" \h \z \u </w:instrText>
          </w:r>
          <w:r>
            <w:fldChar w:fldCharType="separate"/>
          </w:r>
          <w:r>
            <w:fldChar w:fldCharType="begin"/>
          </w:r>
          <w:r>
            <w:instrText xml:space="preserve"> HYPERLINK \l "_Toc184031811" </w:instrText>
          </w:r>
          <w:r>
            <w:fldChar w:fldCharType="separate"/>
          </w:r>
          <w:r>
            <w:rPr>
              <w:rStyle w:val="24"/>
              <w:rFonts w:hint="eastAsia"/>
            </w:rPr>
            <w:t>第1章 总则</w:t>
          </w:r>
          <w:r>
            <w:rPr>
              <w:rFonts w:hint="eastAsia"/>
            </w:rPr>
            <w:tab/>
          </w:r>
          <w:r>
            <w:rPr>
              <w:rFonts w:hint="eastAsia"/>
            </w:rPr>
            <w:fldChar w:fldCharType="begin"/>
          </w:r>
          <w:r>
            <w:rPr>
              <w:rFonts w:hint="eastAsia"/>
            </w:rPr>
            <w:instrText xml:space="preserve"> </w:instrText>
          </w:r>
          <w:r>
            <w:instrText xml:space="preserve">PAGEREF _Toc184031811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"_Toc184031812" </w:instrText>
          </w:r>
          <w:r>
            <w:fldChar w:fldCharType="separate"/>
          </w:r>
          <w:r>
            <w:rPr>
              <w:rStyle w:val="24"/>
              <w:rFonts w:hint="eastAsia"/>
            </w:rPr>
            <w:t>1.1 概述</w:t>
          </w:r>
          <w:r>
            <w:rPr>
              <w:rFonts w:hint="eastAsia"/>
            </w:rPr>
            <w:tab/>
          </w:r>
          <w:r>
            <w:rPr>
              <w:rFonts w:hint="eastAsia"/>
            </w:rPr>
            <w:fldChar w:fldCharType="begin"/>
          </w:r>
          <w:r>
            <w:rPr>
              <w:rFonts w:hint="eastAsia"/>
            </w:rPr>
            <w:instrText xml:space="preserve"> </w:instrText>
          </w:r>
          <w:r>
            <w:instrText xml:space="preserve">PAGEREF _Toc184031812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"_Toc184031813" </w:instrText>
          </w:r>
          <w:r>
            <w:fldChar w:fldCharType="separate"/>
          </w:r>
          <w:r>
            <w:rPr>
              <w:rStyle w:val="24"/>
              <w:rFonts w:hint="eastAsia"/>
            </w:rPr>
            <w:t>1.2 目标定位</w:t>
          </w:r>
          <w:r>
            <w:rPr>
              <w:rFonts w:hint="eastAsia"/>
            </w:rPr>
            <w:tab/>
          </w:r>
          <w:r>
            <w:rPr>
              <w:rFonts w:hint="eastAsia"/>
            </w:rPr>
            <w:fldChar w:fldCharType="begin"/>
          </w:r>
          <w:r>
            <w:rPr>
              <w:rFonts w:hint="eastAsia"/>
            </w:rPr>
            <w:instrText xml:space="preserve"> </w:instrText>
          </w:r>
          <w:r>
            <w:instrText xml:space="preserve">PAGEREF _Toc184031813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"_Toc184031814" </w:instrText>
          </w:r>
          <w:r>
            <w:fldChar w:fldCharType="separate"/>
          </w:r>
          <w:r>
            <w:rPr>
              <w:rStyle w:val="24"/>
              <w:rFonts w:hint="eastAsia"/>
            </w:rPr>
            <w:t>1.3 适用范围</w:t>
          </w:r>
          <w:r>
            <w:rPr>
              <w:rFonts w:hint="eastAsia"/>
            </w:rPr>
            <w:tab/>
          </w:r>
          <w:r>
            <w:rPr>
              <w:rFonts w:hint="eastAsia"/>
            </w:rPr>
            <w:fldChar w:fldCharType="begin"/>
          </w:r>
          <w:r>
            <w:rPr>
              <w:rFonts w:hint="eastAsia"/>
            </w:rPr>
            <w:instrText xml:space="preserve"> </w:instrText>
          </w:r>
          <w:r>
            <w:instrText xml:space="preserve">PAGEREF _Toc184031814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"_Toc184031815" </w:instrText>
          </w:r>
          <w:r>
            <w:fldChar w:fldCharType="separate"/>
          </w:r>
          <w:r>
            <w:rPr>
              <w:rStyle w:val="24"/>
              <w:rFonts w:hint="eastAsia"/>
            </w:rPr>
            <w:t>1.4 标准规范依据</w:t>
          </w:r>
          <w:r>
            <w:rPr>
              <w:rFonts w:hint="eastAsia"/>
            </w:rPr>
            <w:tab/>
          </w:r>
          <w:r>
            <w:rPr>
              <w:rFonts w:hint="eastAsia"/>
            </w:rPr>
            <w:fldChar w:fldCharType="begin"/>
          </w:r>
          <w:r>
            <w:rPr>
              <w:rFonts w:hint="eastAsia"/>
            </w:rPr>
            <w:instrText xml:space="preserve"> </w:instrText>
          </w:r>
          <w:r>
            <w:instrText xml:space="preserve">PAGEREF _Toc184031815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18"/>
            <w:tabs>
              <w:tab w:val="right" w:leader="dot" w:pos="8296"/>
            </w:tabs>
            <w:rPr>
              <w:rFonts w:hint="eastAsia" w:asciiTheme="minorHAnsi" w:hAnsiTheme="minorHAnsi" w:eastAsiaTheme="minorEastAsia"/>
              <w:sz w:val="21"/>
              <w:szCs w:val="22"/>
              <w14:ligatures w14:val="standardContextual"/>
            </w:rPr>
          </w:pPr>
          <w:r>
            <w:fldChar w:fldCharType="begin"/>
          </w:r>
          <w:r>
            <w:instrText xml:space="preserve"> HYPERLINK \l "_Toc184031816" </w:instrText>
          </w:r>
          <w:r>
            <w:fldChar w:fldCharType="separate"/>
          </w:r>
          <w:r>
            <w:rPr>
              <w:rStyle w:val="24"/>
              <w:rFonts w:hint="eastAsia"/>
            </w:rPr>
            <w:t>第2章 建设要求</w:t>
          </w:r>
          <w:r>
            <w:rPr>
              <w:rFonts w:hint="eastAsia"/>
            </w:rPr>
            <w:tab/>
          </w:r>
          <w:r>
            <w:rPr>
              <w:rFonts w:hint="eastAsia"/>
            </w:rPr>
            <w:fldChar w:fldCharType="begin"/>
          </w:r>
          <w:r>
            <w:rPr>
              <w:rFonts w:hint="eastAsia"/>
            </w:rPr>
            <w:instrText xml:space="preserve"> </w:instrText>
          </w:r>
          <w:r>
            <w:instrText xml:space="preserve">PAGEREF _Toc184031816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"_Toc184031817" </w:instrText>
          </w:r>
          <w:r>
            <w:fldChar w:fldCharType="separate"/>
          </w:r>
          <w:r>
            <w:rPr>
              <w:rStyle w:val="24"/>
              <w:rFonts w:hint="eastAsia"/>
            </w:rPr>
            <w:t>2.1 建设目标</w:t>
          </w:r>
          <w:r>
            <w:rPr>
              <w:rFonts w:hint="eastAsia"/>
            </w:rPr>
            <w:tab/>
          </w:r>
          <w:r>
            <w:rPr>
              <w:rFonts w:hint="eastAsia"/>
            </w:rPr>
            <w:fldChar w:fldCharType="begin"/>
          </w:r>
          <w:r>
            <w:rPr>
              <w:rFonts w:hint="eastAsia"/>
            </w:rPr>
            <w:instrText xml:space="preserve"> </w:instrText>
          </w:r>
          <w:r>
            <w:instrText xml:space="preserve">PAGEREF _Toc184031817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"_Toc184031818" </w:instrText>
          </w:r>
          <w:r>
            <w:fldChar w:fldCharType="separate"/>
          </w:r>
          <w:r>
            <w:rPr>
              <w:rStyle w:val="24"/>
              <w:rFonts w:hint="eastAsia"/>
            </w:rPr>
            <w:t>2.2 建设原则</w:t>
          </w:r>
          <w:r>
            <w:rPr>
              <w:rFonts w:hint="eastAsia"/>
            </w:rPr>
            <w:tab/>
          </w:r>
          <w:r>
            <w:rPr>
              <w:rFonts w:hint="eastAsia"/>
            </w:rPr>
            <w:fldChar w:fldCharType="begin"/>
          </w:r>
          <w:r>
            <w:rPr>
              <w:rFonts w:hint="eastAsia"/>
            </w:rPr>
            <w:instrText xml:space="preserve"> </w:instrText>
          </w:r>
          <w:r>
            <w:instrText xml:space="preserve">PAGEREF _Toc184031818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"_Toc184031819" </w:instrText>
          </w:r>
          <w:r>
            <w:fldChar w:fldCharType="separate"/>
          </w:r>
          <w:r>
            <w:rPr>
              <w:rStyle w:val="24"/>
              <w:rFonts w:hint="eastAsia"/>
            </w:rPr>
            <w:t>2.3 总体架构</w:t>
          </w:r>
          <w:r>
            <w:rPr>
              <w:rFonts w:hint="eastAsia"/>
            </w:rPr>
            <w:tab/>
          </w:r>
          <w:r>
            <w:rPr>
              <w:rFonts w:hint="eastAsia"/>
            </w:rPr>
            <w:fldChar w:fldCharType="begin"/>
          </w:r>
          <w:r>
            <w:rPr>
              <w:rFonts w:hint="eastAsia"/>
            </w:rPr>
            <w:instrText xml:space="preserve"> </w:instrText>
          </w:r>
          <w:r>
            <w:instrText xml:space="preserve">PAGEREF _Toc184031819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"_Toc184031820" </w:instrText>
          </w:r>
          <w:r>
            <w:fldChar w:fldCharType="separate"/>
          </w:r>
          <w:r>
            <w:rPr>
              <w:rStyle w:val="24"/>
              <w:rFonts w:hint="eastAsia"/>
            </w:rPr>
            <w:t>2.4 建设内容</w:t>
          </w:r>
          <w:r>
            <w:rPr>
              <w:rFonts w:hint="eastAsia"/>
            </w:rPr>
            <w:tab/>
          </w:r>
          <w:r>
            <w:rPr>
              <w:rFonts w:hint="eastAsia"/>
            </w:rPr>
            <w:fldChar w:fldCharType="begin"/>
          </w:r>
          <w:r>
            <w:rPr>
              <w:rFonts w:hint="eastAsia"/>
            </w:rPr>
            <w:instrText xml:space="preserve"> </w:instrText>
          </w:r>
          <w:r>
            <w:instrText xml:space="preserve">PAGEREF _Toc184031820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18"/>
            <w:tabs>
              <w:tab w:val="right" w:leader="dot" w:pos="8296"/>
            </w:tabs>
            <w:rPr>
              <w:rFonts w:hint="eastAsia" w:asciiTheme="minorHAnsi" w:hAnsiTheme="minorHAnsi" w:eastAsiaTheme="minorEastAsia"/>
              <w:sz w:val="21"/>
              <w:szCs w:val="22"/>
              <w14:ligatures w14:val="standardContextual"/>
            </w:rPr>
          </w:pPr>
          <w:r>
            <w:fldChar w:fldCharType="begin"/>
          </w:r>
          <w:r>
            <w:instrText xml:space="preserve"> HYPERLINK \l "_Toc184031821" </w:instrText>
          </w:r>
          <w:r>
            <w:fldChar w:fldCharType="separate"/>
          </w:r>
          <w:r>
            <w:rPr>
              <w:rStyle w:val="24"/>
              <w:rFonts w:hint="eastAsia"/>
            </w:rPr>
            <w:t>第3章 风险评估</w:t>
          </w:r>
          <w:r>
            <w:rPr>
              <w:rFonts w:hint="eastAsia"/>
            </w:rPr>
            <w:tab/>
          </w:r>
          <w:r>
            <w:rPr>
              <w:rFonts w:hint="eastAsia"/>
            </w:rPr>
            <w:fldChar w:fldCharType="begin"/>
          </w:r>
          <w:r>
            <w:rPr>
              <w:rFonts w:hint="eastAsia"/>
            </w:rPr>
            <w:instrText xml:space="preserve"> </w:instrText>
          </w:r>
          <w:r>
            <w:instrText xml:space="preserve">PAGEREF _Toc184031821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"_Toc184031822" </w:instrText>
          </w:r>
          <w:r>
            <w:fldChar w:fldCharType="separate"/>
          </w:r>
          <w:r>
            <w:rPr>
              <w:rStyle w:val="24"/>
              <w:rFonts w:hint="eastAsia"/>
            </w:rPr>
            <w:t>3.1 加快推进市政基础设施普查工作</w:t>
          </w:r>
          <w:r>
            <w:rPr>
              <w:rFonts w:hint="eastAsia"/>
            </w:rPr>
            <w:tab/>
          </w:r>
          <w:r>
            <w:rPr>
              <w:rFonts w:hint="eastAsia"/>
            </w:rPr>
            <w:fldChar w:fldCharType="begin"/>
          </w:r>
          <w:r>
            <w:rPr>
              <w:rFonts w:hint="eastAsia"/>
            </w:rPr>
            <w:instrText xml:space="preserve"> </w:instrText>
          </w:r>
          <w:r>
            <w:instrText xml:space="preserve">PAGEREF _Toc184031822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"_Toc184031823" </w:instrText>
          </w:r>
          <w:r>
            <w:fldChar w:fldCharType="separate"/>
          </w:r>
          <w:r>
            <w:rPr>
              <w:rStyle w:val="24"/>
              <w:rFonts w:hint="eastAsia"/>
            </w:rPr>
            <w:t>3.2 风险评估准备</w:t>
          </w:r>
          <w:r>
            <w:rPr>
              <w:rFonts w:hint="eastAsia"/>
            </w:rPr>
            <w:tab/>
          </w:r>
          <w:r>
            <w:rPr>
              <w:rFonts w:hint="eastAsia"/>
            </w:rPr>
            <w:fldChar w:fldCharType="begin"/>
          </w:r>
          <w:r>
            <w:rPr>
              <w:rFonts w:hint="eastAsia"/>
            </w:rPr>
            <w:instrText xml:space="preserve"> </w:instrText>
          </w:r>
          <w:r>
            <w:instrText xml:space="preserve">PAGEREF _Toc184031823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"_Toc184031824" </w:instrText>
          </w:r>
          <w:r>
            <w:fldChar w:fldCharType="separate"/>
          </w:r>
          <w:r>
            <w:rPr>
              <w:rStyle w:val="24"/>
              <w:rFonts w:hint="eastAsia"/>
            </w:rPr>
            <w:t>3.3 风险辨识和评估方法</w:t>
          </w:r>
          <w:r>
            <w:rPr>
              <w:rFonts w:hint="eastAsia"/>
            </w:rPr>
            <w:tab/>
          </w:r>
          <w:r>
            <w:rPr>
              <w:rFonts w:hint="eastAsia"/>
            </w:rPr>
            <w:fldChar w:fldCharType="begin"/>
          </w:r>
          <w:r>
            <w:rPr>
              <w:rFonts w:hint="eastAsia"/>
            </w:rPr>
            <w:instrText xml:space="preserve"> </w:instrText>
          </w:r>
          <w:r>
            <w:instrText xml:space="preserve">PAGEREF _Toc184031824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"_Toc184031825" </w:instrText>
          </w:r>
          <w:r>
            <w:fldChar w:fldCharType="separate"/>
          </w:r>
          <w:r>
            <w:rPr>
              <w:rStyle w:val="24"/>
              <w:rFonts w:hint="eastAsia"/>
            </w:rPr>
            <w:t>3.4 风险分析与制图</w:t>
          </w:r>
          <w:r>
            <w:rPr>
              <w:rFonts w:hint="eastAsia"/>
            </w:rPr>
            <w:tab/>
          </w:r>
          <w:r>
            <w:rPr>
              <w:rFonts w:hint="eastAsia"/>
            </w:rPr>
            <w:fldChar w:fldCharType="begin"/>
          </w:r>
          <w:r>
            <w:rPr>
              <w:rFonts w:hint="eastAsia"/>
            </w:rPr>
            <w:instrText xml:space="preserve"> </w:instrText>
          </w:r>
          <w:r>
            <w:instrText xml:space="preserve">PAGEREF _Toc184031825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pPr>
            <w:pStyle w:val="18"/>
            <w:tabs>
              <w:tab w:val="right" w:leader="dot" w:pos="8296"/>
            </w:tabs>
            <w:rPr>
              <w:rFonts w:hint="eastAsia" w:asciiTheme="minorHAnsi" w:hAnsiTheme="minorHAnsi" w:eastAsiaTheme="minorEastAsia"/>
              <w:sz w:val="21"/>
              <w:szCs w:val="22"/>
              <w14:ligatures w14:val="standardContextual"/>
            </w:rPr>
          </w:pPr>
          <w:r>
            <w:fldChar w:fldCharType="begin"/>
          </w:r>
          <w:r>
            <w:instrText xml:space="preserve"> HYPERLINK \l "_Toc184031826" </w:instrText>
          </w:r>
          <w:r>
            <w:fldChar w:fldCharType="separate"/>
          </w:r>
          <w:r>
            <w:rPr>
              <w:rStyle w:val="24"/>
              <w:rFonts w:hint="eastAsia"/>
            </w:rPr>
            <w:t>第4章 建设改造项目库构建要求</w:t>
          </w:r>
          <w:r>
            <w:rPr>
              <w:rFonts w:hint="eastAsia"/>
            </w:rPr>
            <w:tab/>
          </w:r>
          <w:r>
            <w:rPr>
              <w:rFonts w:hint="eastAsia"/>
            </w:rPr>
            <w:fldChar w:fldCharType="begin"/>
          </w:r>
          <w:r>
            <w:rPr>
              <w:rFonts w:hint="eastAsia"/>
            </w:rPr>
            <w:instrText xml:space="preserve"> </w:instrText>
          </w:r>
          <w:r>
            <w:instrText xml:space="preserve">PAGEREF _Toc184031826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pPr>
            <w:pStyle w:val="18"/>
            <w:tabs>
              <w:tab w:val="right" w:leader="dot" w:pos="8296"/>
            </w:tabs>
            <w:rPr>
              <w:rFonts w:hint="eastAsia" w:asciiTheme="minorHAnsi" w:hAnsiTheme="minorHAnsi" w:eastAsiaTheme="minorEastAsia"/>
              <w:sz w:val="21"/>
              <w:szCs w:val="22"/>
              <w14:ligatures w14:val="standardContextual"/>
            </w:rPr>
          </w:pPr>
          <w:r>
            <w:fldChar w:fldCharType="begin"/>
          </w:r>
          <w:r>
            <w:instrText xml:space="preserve"> HYPERLINK \l "_Toc184031827" </w:instrText>
          </w:r>
          <w:r>
            <w:fldChar w:fldCharType="separate"/>
          </w:r>
          <w:r>
            <w:rPr>
              <w:rStyle w:val="24"/>
              <w:rFonts w:hint="eastAsia"/>
            </w:rPr>
            <w:t>第5章 城市地下管线综合规划编制要求</w:t>
          </w:r>
          <w:r>
            <w:rPr>
              <w:rFonts w:hint="eastAsia"/>
            </w:rPr>
            <w:tab/>
          </w:r>
          <w:r>
            <w:rPr>
              <w:rFonts w:hint="eastAsia"/>
            </w:rPr>
            <w:fldChar w:fldCharType="begin"/>
          </w:r>
          <w:r>
            <w:rPr>
              <w:rFonts w:hint="eastAsia"/>
            </w:rPr>
            <w:instrText xml:space="preserve"> </w:instrText>
          </w:r>
          <w:r>
            <w:instrText xml:space="preserve">PAGEREF _Toc184031827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"_Toc184031828" </w:instrText>
          </w:r>
          <w:r>
            <w:fldChar w:fldCharType="separate"/>
          </w:r>
          <w:r>
            <w:rPr>
              <w:rStyle w:val="24"/>
              <w:rFonts w:hint="eastAsia"/>
            </w:rPr>
            <w:t>5.1 编制目的</w:t>
          </w:r>
          <w:r>
            <w:rPr>
              <w:rFonts w:hint="eastAsia"/>
            </w:rPr>
            <w:tab/>
          </w:r>
          <w:r>
            <w:rPr>
              <w:rFonts w:hint="eastAsia"/>
            </w:rPr>
            <w:fldChar w:fldCharType="begin"/>
          </w:r>
          <w:r>
            <w:rPr>
              <w:rFonts w:hint="eastAsia"/>
            </w:rPr>
            <w:instrText xml:space="preserve"> </w:instrText>
          </w:r>
          <w:r>
            <w:instrText xml:space="preserve">PAGEREF _Toc184031828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"_Toc184031829" </w:instrText>
          </w:r>
          <w:r>
            <w:fldChar w:fldCharType="separate"/>
          </w:r>
          <w:r>
            <w:rPr>
              <w:rStyle w:val="24"/>
              <w:rFonts w:hint="eastAsia"/>
            </w:rPr>
            <w:t>5.2 规划定位</w:t>
          </w:r>
          <w:r>
            <w:rPr>
              <w:rFonts w:hint="eastAsia"/>
            </w:rPr>
            <w:tab/>
          </w:r>
          <w:r>
            <w:rPr>
              <w:rFonts w:hint="eastAsia"/>
            </w:rPr>
            <w:fldChar w:fldCharType="begin"/>
          </w:r>
          <w:r>
            <w:rPr>
              <w:rFonts w:hint="eastAsia"/>
            </w:rPr>
            <w:instrText xml:space="preserve"> </w:instrText>
          </w:r>
          <w:r>
            <w:instrText xml:space="preserve">PAGEREF _Toc184031829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"_Toc184031830" </w:instrText>
          </w:r>
          <w:r>
            <w:fldChar w:fldCharType="separate"/>
          </w:r>
          <w:r>
            <w:rPr>
              <w:rStyle w:val="24"/>
              <w:rFonts w:hint="eastAsia"/>
            </w:rPr>
            <w:t>5.3 编制依据</w:t>
          </w:r>
          <w:r>
            <w:rPr>
              <w:rFonts w:hint="eastAsia"/>
            </w:rPr>
            <w:tab/>
          </w:r>
          <w:r>
            <w:rPr>
              <w:rFonts w:hint="eastAsia"/>
            </w:rPr>
            <w:fldChar w:fldCharType="begin"/>
          </w:r>
          <w:r>
            <w:rPr>
              <w:rFonts w:hint="eastAsia"/>
            </w:rPr>
            <w:instrText xml:space="preserve"> </w:instrText>
          </w:r>
          <w:r>
            <w:instrText xml:space="preserve">PAGEREF _Toc184031830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"_Toc184031831" </w:instrText>
          </w:r>
          <w:r>
            <w:fldChar w:fldCharType="separate"/>
          </w:r>
          <w:r>
            <w:rPr>
              <w:rStyle w:val="24"/>
              <w:rFonts w:hint="eastAsia"/>
            </w:rPr>
            <w:t>5.4 规划期限</w:t>
          </w:r>
          <w:r>
            <w:rPr>
              <w:rFonts w:hint="eastAsia"/>
            </w:rPr>
            <w:tab/>
          </w:r>
          <w:r>
            <w:rPr>
              <w:rFonts w:hint="eastAsia"/>
            </w:rPr>
            <w:fldChar w:fldCharType="begin"/>
          </w:r>
          <w:r>
            <w:rPr>
              <w:rFonts w:hint="eastAsia"/>
            </w:rPr>
            <w:instrText xml:space="preserve"> </w:instrText>
          </w:r>
          <w:r>
            <w:instrText xml:space="preserve">PAGEREF _Toc184031831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"_Toc184031832" </w:instrText>
          </w:r>
          <w:r>
            <w:fldChar w:fldCharType="separate"/>
          </w:r>
          <w:r>
            <w:rPr>
              <w:rStyle w:val="24"/>
              <w:rFonts w:hint="eastAsia"/>
            </w:rPr>
            <w:t>5.5 规划对象</w:t>
          </w:r>
          <w:r>
            <w:rPr>
              <w:rFonts w:hint="eastAsia"/>
            </w:rPr>
            <w:tab/>
          </w:r>
          <w:r>
            <w:rPr>
              <w:rFonts w:hint="eastAsia"/>
            </w:rPr>
            <w:fldChar w:fldCharType="begin"/>
          </w:r>
          <w:r>
            <w:rPr>
              <w:rFonts w:hint="eastAsia"/>
            </w:rPr>
            <w:instrText xml:space="preserve"> </w:instrText>
          </w:r>
          <w:r>
            <w:instrText xml:space="preserve">PAGEREF _Toc184031832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"_Toc184031833" </w:instrText>
          </w:r>
          <w:r>
            <w:fldChar w:fldCharType="separate"/>
          </w:r>
          <w:r>
            <w:rPr>
              <w:rStyle w:val="24"/>
              <w:rFonts w:hint="eastAsia"/>
            </w:rPr>
            <w:t>5.6 规划内容</w:t>
          </w:r>
          <w:r>
            <w:rPr>
              <w:rFonts w:hint="eastAsia"/>
            </w:rPr>
            <w:tab/>
          </w:r>
          <w:r>
            <w:rPr>
              <w:rFonts w:hint="eastAsia"/>
            </w:rPr>
            <w:fldChar w:fldCharType="begin"/>
          </w:r>
          <w:r>
            <w:rPr>
              <w:rFonts w:hint="eastAsia"/>
            </w:rPr>
            <w:instrText xml:space="preserve"> </w:instrText>
          </w:r>
          <w:r>
            <w:instrText xml:space="preserve">PAGEREF _Toc184031833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"_Toc184031834" </w:instrText>
          </w:r>
          <w:r>
            <w:fldChar w:fldCharType="separate"/>
          </w:r>
          <w:r>
            <w:rPr>
              <w:rStyle w:val="24"/>
              <w:rFonts w:hint="eastAsia"/>
            </w:rPr>
            <w:t>5.6 规划深度</w:t>
          </w:r>
          <w:r>
            <w:rPr>
              <w:rFonts w:hint="eastAsia"/>
            </w:rPr>
            <w:tab/>
          </w:r>
          <w:r>
            <w:rPr>
              <w:rFonts w:hint="eastAsia"/>
            </w:rPr>
            <w:fldChar w:fldCharType="begin"/>
          </w:r>
          <w:r>
            <w:rPr>
              <w:rFonts w:hint="eastAsia"/>
            </w:rPr>
            <w:instrText xml:space="preserve"> </w:instrText>
          </w:r>
          <w:r>
            <w:instrText xml:space="preserve">PAGEREF _Toc184031834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"_Toc184031835" </w:instrText>
          </w:r>
          <w:r>
            <w:fldChar w:fldCharType="separate"/>
          </w:r>
          <w:r>
            <w:rPr>
              <w:rStyle w:val="24"/>
              <w:rFonts w:hint="eastAsia"/>
            </w:rPr>
            <w:t>5.7 工作标准</w:t>
          </w:r>
          <w:r>
            <w:rPr>
              <w:rFonts w:hint="eastAsia"/>
            </w:rPr>
            <w:tab/>
          </w:r>
          <w:r>
            <w:rPr>
              <w:rFonts w:hint="eastAsia"/>
            </w:rPr>
            <w:fldChar w:fldCharType="begin"/>
          </w:r>
          <w:r>
            <w:rPr>
              <w:rFonts w:hint="eastAsia"/>
            </w:rPr>
            <w:instrText xml:space="preserve"> </w:instrText>
          </w:r>
          <w:r>
            <w:instrText xml:space="preserve">PAGEREF _Toc184031835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pPr>
            <w:pStyle w:val="18"/>
            <w:tabs>
              <w:tab w:val="right" w:leader="dot" w:pos="8296"/>
            </w:tabs>
            <w:rPr>
              <w:rFonts w:hint="eastAsia" w:asciiTheme="minorHAnsi" w:hAnsiTheme="minorHAnsi" w:eastAsiaTheme="minorEastAsia"/>
              <w:sz w:val="21"/>
              <w:szCs w:val="22"/>
              <w14:ligatures w14:val="standardContextual"/>
            </w:rPr>
          </w:pPr>
          <w:r>
            <w:fldChar w:fldCharType="begin"/>
          </w:r>
          <w:r>
            <w:instrText xml:space="preserve"> HYPERLINK \l "_Toc184031836" </w:instrText>
          </w:r>
          <w:r>
            <w:fldChar w:fldCharType="separate"/>
          </w:r>
          <w:r>
            <w:rPr>
              <w:rStyle w:val="24"/>
              <w:rFonts w:hint="eastAsia"/>
            </w:rPr>
            <w:t>第6章 落实“综合改一次”建设要求</w:t>
          </w:r>
          <w:r>
            <w:rPr>
              <w:rFonts w:hint="eastAsia"/>
            </w:rPr>
            <w:tab/>
          </w:r>
          <w:r>
            <w:rPr>
              <w:rFonts w:hint="eastAsia"/>
            </w:rPr>
            <w:fldChar w:fldCharType="begin"/>
          </w:r>
          <w:r>
            <w:rPr>
              <w:rFonts w:hint="eastAsia"/>
            </w:rPr>
            <w:instrText xml:space="preserve"> </w:instrText>
          </w:r>
          <w:r>
            <w:instrText xml:space="preserve">PAGEREF _Toc184031836 \h</w:instrText>
          </w:r>
          <w:r>
            <w:rPr>
              <w:rFonts w:hint="eastAsia"/>
            </w:rPr>
            <w:instrText xml:space="preserve"> </w:instrText>
          </w:r>
          <w:r>
            <w:rPr>
              <w:rFonts w:hint="eastAsia"/>
            </w:rPr>
            <w:fldChar w:fldCharType="separate"/>
          </w:r>
          <w:r>
            <w:t>24</w:t>
          </w:r>
          <w:r>
            <w:rPr>
              <w:rFonts w:hint="eastAsia"/>
            </w:rPr>
            <w:fldChar w:fldCharType="end"/>
          </w:r>
          <w:r>
            <w:rPr>
              <w:rFonts w:hint="eastAsia"/>
            </w:rPr>
            <w:fldChar w:fldCharType="end"/>
          </w:r>
        </w:p>
        <w:p>
          <w:pPr>
            <w:pStyle w:val="18"/>
            <w:tabs>
              <w:tab w:val="right" w:leader="dot" w:pos="8296"/>
            </w:tabs>
            <w:rPr>
              <w:rFonts w:hint="eastAsia" w:asciiTheme="minorHAnsi" w:hAnsiTheme="minorHAnsi" w:eastAsiaTheme="minorEastAsia"/>
              <w:sz w:val="21"/>
              <w:szCs w:val="22"/>
              <w14:ligatures w14:val="standardContextual"/>
            </w:rPr>
          </w:pPr>
          <w:r>
            <w:fldChar w:fldCharType="begin"/>
          </w:r>
          <w:r>
            <w:instrText xml:space="preserve"> HYPERLINK \l "_Toc184031837" </w:instrText>
          </w:r>
          <w:r>
            <w:fldChar w:fldCharType="separate"/>
          </w:r>
          <w:r>
            <w:rPr>
              <w:rStyle w:val="24"/>
              <w:rFonts w:hint="eastAsia"/>
            </w:rPr>
            <w:t>第7章 监测感知网搭建要求</w:t>
          </w:r>
          <w:r>
            <w:rPr>
              <w:rFonts w:hint="eastAsia"/>
            </w:rPr>
            <w:tab/>
          </w:r>
          <w:r>
            <w:rPr>
              <w:rFonts w:hint="eastAsia"/>
            </w:rPr>
            <w:fldChar w:fldCharType="begin"/>
          </w:r>
          <w:r>
            <w:rPr>
              <w:rFonts w:hint="eastAsia"/>
            </w:rPr>
            <w:instrText xml:space="preserve"> </w:instrText>
          </w:r>
          <w:r>
            <w:instrText xml:space="preserve">PAGEREF _Toc184031837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"_Toc184031838" </w:instrText>
          </w:r>
          <w:r>
            <w:fldChar w:fldCharType="separate"/>
          </w:r>
          <w:r>
            <w:rPr>
              <w:rStyle w:val="24"/>
              <w:rFonts w:hint="eastAsia"/>
            </w:rPr>
            <w:t>7.1 燃气管网及相邻空间感知网络建设要求</w:t>
          </w:r>
          <w:r>
            <w:rPr>
              <w:rFonts w:hint="eastAsia"/>
            </w:rPr>
            <w:tab/>
          </w:r>
          <w:r>
            <w:rPr>
              <w:rFonts w:hint="eastAsia"/>
            </w:rPr>
            <w:fldChar w:fldCharType="begin"/>
          </w:r>
          <w:r>
            <w:rPr>
              <w:rFonts w:hint="eastAsia"/>
            </w:rPr>
            <w:instrText xml:space="preserve"> </w:instrText>
          </w:r>
          <w:r>
            <w:instrText xml:space="preserve">PAGEREF _Toc184031838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"_Toc184031839" </w:instrText>
          </w:r>
          <w:r>
            <w:fldChar w:fldCharType="separate"/>
          </w:r>
          <w:r>
            <w:rPr>
              <w:rStyle w:val="24"/>
              <w:rFonts w:hint="eastAsia"/>
            </w:rPr>
            <w:t>7.2 供水管网感知网络建设要求</w:t>
          </w:r>
          <w:r>
            <w:rPr>
              <w:rFonts w:hint="eastAsia"/>
            </w:rPr>
            <w:tab/>
          </w:r>
          <w:r>
            <w:rPr>
              <w:rFonts w:hint="eastAsia"/>
            </w:rPr>
            <w:fldChar w:fldCharType="begin"/>
          </w:r>
          <w:r>
            <w:rPr>
              <w:rFonts w:hint="eastAsia"/>
            </w:rPr>
            <w:instrText xml:space="preserve"> </w:instrText>
          </w:r>
          <w:r>
            <w:instrText xml:space="preserve">PAGEREF _Toc184031839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"_Toc184031840" </w:instrText>
          </w:r>
          <w:r>
            <w:fldChar w:fldCharType="separate"/>
          </w:r>
          <w:r>
            <w:rPr>
              <w:rStyle w:val="24"/>
              <w:rFonts w:hint="eastAsia"/>
            </w:rPr>
            <w:t>7.3 排水（雨水）管网感知网络建设要求</w:t>
          </w:r>
          <w:r>
            <w:rPr>
              <w:rFonts w:hint="eastAsia"/>
            </w:rPr>
            <w:tab/>
          </w:r>
          <w:r>
            <w:rPr>
              <w:rFonts w:hint="eastAsia"/>
            </w:rPr>
            <w:fldChar w:fldCharType="begin"/>
          </w:r>
          <w:r>
            <w:rPr>
              <w:rFonts w:hint="eastAsia"/>
            </w:rPr>
            <w:instrText xml:space="preserve"> </w:instrText>
          </w:r>
          <w:r>
            <w:instrText xml:space="preserve">PAGEREF _Toc184031840 \h</w:instrText>
          </w:r>
          <w:r>
            <w:rPr>
              <w:rFonts w:hint="eastAsia"/>
            </w:rPr>
            <w:instrText xml:space="preserve"> </w:instrText>
          </w:r>
          <w:r>
            <w:rPr>
              <w:rFonts w:hint="eastAsia"/>
            </w:rPr>
            <w:fldChar w:fldCharType="separate"/>
          </w:r>
          <w:r>
            <w:t>32</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"_Toc184031841" </w:instrText>
          </w:r>
          <w:r>
            <w:fldChar w:fldCharType="separate"/>
          </w:r>
          <w:r>
            <w:rPr>
              <w:rStyle w:val="24"/>
              <w:rFonts w:hint="eastAsia"/>
            </w:rPr>
            <w:t>7.4 排水（污水）管网感知网络建设要求</w:t>
          </w:r>
          <w:r>
            <w:rPr>
              <w:rFonts w:hint="eastAsia"/>
            </w:rPr>
            <w:tab/>
          </w:r>
          <w:r>
            <w:rPr>
              <w:rFonts w:hint="eastAsia"/>
            </w:rPr>
            <w:fldChar w:fldCharType="begin"/>
          </w:r>
          <w:r>
            <w:rPr>
              <w:rFonts w:hint="eastAsia"/>
            </w:rPr>
            <w:instrText xml:space="preserve"> </w:instrText>
          </w:r>
          <w:r>
            <w:instrText xml:space="preserve">PAGEREF _Toc184031841 \h</w:instrText>
          </w:r>
          <w:r>
            <w:rPr>
              <w:rFonts w:hint="eastAsia"/>
            </w:rPr>
            <w:instrText xml:space="preserve"> </w:instrText>
          </w:r>
          <w:r>
            <w:rPr>
              <w:rFonts w:hint="eastAsia"/>
            </w:rPr>
            <w:fldChar w:fldCharType="separate"/>
          </w:r>
          <w:r>
            <w:t>34</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"_Toc184031842" </w:instrText>
          </w:r>
          <w:r>
            <w:fldChar w:fldCharType="separate"/>
          </w:r>
          <w:r>
            <w:rPr>
              <w:rStyle w:val="24"/>
              <w:rFonts w:hint="eastAsia"/>
            </w:rPr>
            <w:t>7.5 桥梁感知网络建设要求</w:t>
          </w:r>
          <w:r>
            <w:rPr>
              <w:rFonts w:hint="eastAsia"/>
            </w:rPr>
            <w:tab/>
          </w:r>
          <w:r>
            <w:rPr>
              <w:rFonts w:hint="eastAsia"/>
            </w:rPr>
            <w:fldChar w:fldCharType="begin"/>
          </w:r>
          <w:r>
            <w:rPr>
              <w:rFonts w:hint="eastAsia"/>
            </w:rPr>
            <w:instrText xml:space="preserve"> </w:instrText>
          </w:r>
          <w:r>
            <w:instrText xml:space="preserve">PAGEREF _Toc184031842 \h</w:instrText>
          </w:r>
          <w:r>
            <w:rPr>
              <w:rFonts w:hint="eastAsia"/>
            </w:rPr>
            <w:instrText xml:space="preserve"> </w:instrText>
          </w:r>
          <w:r>
            <w:rPr>
              <w:rFonts w:hint="eastAsia"/>
            </w:rPr>
            <w:fldChar w:fldCharType="separate"/>
          </w:r>
          <w:r>
            <w:t>37</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"_Toc184031843" </w:instrText>
          </w:r>
          <w:r>
            <w:fldChar w:fldCharType="separate"/>
          </w:r>
          <w:r>
            <w:rPr>
              <w:rStyle w:val="24"/>
              <w:rFonts w:hint="eastAsia"/>
            </w:rPr>
            <w:t>7.6 综合管廊感知网络建设要求</w:t>
          </w:r>
          <w:r>
            <w:rPr>
              <w:rFonts w:hint="eastAsia"/>
            </w:rPr>
            <w:tab/>
          </w:r>
          <w:r>
            <w:rPr>
              <w:rFonts w:hint="eastAsia"/>
            </w:rPr>
            <w:fldChar w:fldCharType="begin"/>
          </w:r>
          <w:r>
            <w:rPr>
              <w:rFonts w:hint="eastAsia"/>
            </w:rPr>
            <w:instrText xml:space="preserve"> </w:instrText>
          </w:r>
          <w:r>
            <w:instrText xml:space="preserve">PAGEREF _Toc184031843 \h</w:instrText>
          </w:r>
          <w:r>
            <w:rPr>
              <w:rFonts w:hint="eastAsia"/>
            </w:rPr>
            <w:instrText xml:space="preserve"> </w:instrText>
          </w:r>
          <w:r>
            <w:rPr>
              <w:rFonts w:hint="eastAsia"/>
            </w:rPr>
            <w:fldChar w:fldCharType="separate"/>
          </w:r>
          <w:r>
            <w:t>46</w:t>
          </w:r>
          <w:r>
            <w:rPr>
              <w:rFonts w:hint="eastAsia"/>
            </w:rPr>
            <w:fldChar w:fldCharType="end"/>
          </w:r>
          <w:r>
            <w:rPr>
              <w:rFonts w:hint="eastAsia"/>
            </w:rPr>
            <w:fldChar w:fldCharType="end"/>
          </w:r>
        </w:p>
        <w:p>
          <w:pPr>
            <w:pStyle w:val="18"/>
            <w:tabs>
              <w:tab w:val="right" w:leader="dot" w:pos="8296"/>
            </w:tabs>
            <w:rPr>
              <w:rFonts w:hint="eastAsia" w:asciiTheme="minorHAnsi" w:hAnsiTheme="minorHAnsi" w:eastAsiaTheme="minorEastAsia"/>
              <w:sz w:val="21"/>
              <w:szCs w:val="22"/>
              <w14:ligatures w14:val="standardContextual"/>
            </w:rPr>
          </w:pPr>
          <w:r>
            <w:fldChar w:fldCharType="begin"/>
          </w:r>
          <w:r>
            <w:instrText xml:space="preserve"> HYPERLINK \l "_Toc184031844" </w:instrText>
          </w:r>
          <w:r>
            <w:fldChar w:fldCharType="separate"/>
          </w:r>
          <w:r>
            <w:rPr>
              <w:rStyle w:val="24"/>
              <w:rFonts w:hint="eastAsia"/>
            </w:rPr>
            <w:t>第8章 城市生命线安全运行监测平台构建要求</w:t>
          </w:r>
          <w:r>
            <w:rPr>
              <w:rFonts w:hint="eastAsia"/>
            </w:rPr>
            <w:tab/>
          </w:r>
          <w:r>
            <w:rPr>
              <w:rFonts w:hint="eastAsia"/>
            </w:rPr>
            <w:fldChar w:fldCharType="begin"/>
          </w:r>
          <w:r>
            <w:rPr>
              <w:rFonts w:hint="eastAsia"/>
            </w:rPr>
            <w:instrText xml:space="preserve"> </w:instrText>
          </w:r>
          <w:r>
            <w:instrText xml:space="preserve">PAGEREF _Toc184031844 \h</w:instrText>
          </w:r>
          <w:r>
            <w:rPr>
              <w:rFonts w:hint="eastAsia"/>
            </w:rPr>
            <w:instrText xml:space="preserve"> </w:instrText>
          </w:r>
          <w:r>
            <w:rPr>
              <w:rFonts w:hint="eastAsia"/>
            </w:rPr>
            <w:fldChar w:fldCharType="separate"/>
          </w:r>
          <w:r>
            <w:t>49</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"_Toc184031845" </w:instrText>
          </w:r>
          <w:r>
            <w:fldChar w:fldCharType="separate"/>
          </w:r>
          <w:r>
            <w:rPr>
              <w:rStyle w:val="24"/>
              <w:rFonts w:hint="eastAsia"/>
            </w:rPr>
            <w:t>8.1 平台应用系统建设要求</w:t>
          </w:r>
          <w:r>
            <w:rPr>
              <w:rFonts w:hint="eastAsia"/>
            </w:rPr>
            <w:tab/>
          </w:r>
          <w:r>
            <w:rPr>
              <w:rFonts w:hint="eastAsia"/>
            </w:rPr>
            <w:fldChar w:fldCharType="begin"/>
          </w:r>
          <w:r>
            <w:rPr>
              <w:rFonts w:hint="eastAsia"/>
            </w:rPr>
            <w:instrText xml:space="preserve"> </w:instrText>
          </w:r>
          <w:r>
            <w:instrText xml:space="preserve">PAGEREF _Toc184031845 \h</w:instrText>
          </w:r>
          <w:r>
            <w:rPr>
              <w:rFonts w:hint="eastAsia"/>
            </w:rPr>
            <w:instrText xml:space="preserve"> </w:instrText>
          </w:r>
          <w:r>
            <w:rPr>
              <w:rFonts w:hint="eastAsia"/>
            </w:rPr>
            <w:fldChar w:fldCharType="separate"/>
          </w:r>
          <w:r>
            <w:t>49</w:t>
          </w:r>
          <w:r>
            <w:rPr>
              <w:rFonts w:hint="eastAsia"/>
            </w:rPr>
            <w:fldChar w:fldCharType="end"/>
          </w:r>
          <w:r>
            <w:rPr>
              <w:rFonts w:hint="eastAsia"/>
            </w:rPr>
            <w:fldChar w:fldCharType="end"/>
          </w:r>
        </w:p>
        <w:p>
          <w:pPr>
            <w:pStyle w:val="14"/>
            <w:tabs>
              <w:tab w:val="right" w:leader="dot" w:pos="8296"/>
            </w:tabs>
            <w:ind w:left="1200"/>
            <w:rPr>
              <w:rFonts w:hint="eastAsia" w:asciiTheme="minorHAnsi" w:hAnsiTheme="minorHAnsi" w:eastAsiaTheme="minorEastAsia"/>
              <w:sz w:val="21"/>
              <w:szCs w:val="22"/>
              <w14:ligatures w14:val="standardContextual"/>
            </w:rPr>
          </w:pPr>
          <w:r>
            <w:fldChar w:fldCharType="begin"/>
          </w:r>
          <w:r>
            <w:instrText xml:space="preserve"> HYPERLINK \l "_Toc184031846" </w:instrText>
          </w:r>
          <w:r>
            <w:fldChar w:fldCharType="separate"/>
          </w:r>
          <w:r>
            <w:rPr>
              <w:rStyle w:val="24"/>
              <w:rFonts w:hint="eastAsia"/>
            </w:rPr>
            <w:t>8.1.1 综合安全应用建设要求</w:t>
          </w:r>
          <w:r>
            <w:rPr>
              <w:rFonts w:hint="eastAsia"/>
            </w:rPr>
            <w:tab/>
          </w:r>
          <w:r>
            <w:rPr>
              <w:rFonts w:hint="eastAsia"/>
            </w:rPr>
            <w:fldChar w:fldCharType="begin"/>
          </w:r>
          <w:r>
            <w:rPr>
              <w:rFonts w:hint="eastAsia"/>
            </w:rPr>
            <w:instrText xml:space="preserve"> </w:instrText>
          </w:r>
          <w:r>
            <w:instrText xml:space="preserve">PAGEREF _Toc184031846 \h</w:instrText>
          </w:r>
          <w:r>
            <w:rPr>
              <w:rFonts w:hint="eastAsia"/>
            </w:rPr>
            <w:instrText xml:space="preserve"> </w:instrText>
          </w:r>
          <w:r>
            <w:rPr>
              <w:rFonts w:hint="eastAsia"/>
            </w:rPr>
            <w:fldChar w:fldCharType="separate"/>
          </w:r>
          <w:r>
            <w:t>49</w:t>
          </w:r>
          <w:r>
            <w:rPr>
              <w:rFonts w:hint="eastAsia"/>
            </w:rPr>
            <w:fldChar w:fldCharType="end"/>
          </w:r>
          <w:r>
            <w:rPr>
              <w:rFonts w:hint="eastAsia"/>
            </w:rPr>
            <w:fldChar w:fldCharType="end"/>
          </w:r>
        </w:p>
        <w:p>
          <w:pPr>
            <w:pStyle w:val="14"/>
            <w:tabs>
              <w:tab w:val="right" w:leader="dot" w:pos="8296"/>
            </w:tabs>
            <w:ind w:left="1200"/>
            <w:rPr>
              <w:rFonts w:hint="eastAsia" w:asciiTheme="minorHAnsi" w:hAnsiTheme="minorHAnsi" w:eastAsiaTheme="minorEastAsia"/>
              <w:sz w:val="21"/>
              <w:szCs w:val="22"/>
              <w14:ligatures w14:val="standardContextual"/>
            </w:rPr>
          </w:pPr>
          <w:r>
            <w:fldChar w:fldCharType="begin"/>
          </w:r>
          <w:r>
            <w:instrText xml:space="preserve"> HYPERLINK \l "_Toc184031847" </w:instrText>
          </w:r>
          <w:r>
            <w:fldChar w:fldCharType="separate"/>
          </w:r>
          <w:r>
            <w:rPr>
              <w:rStyle w:val="24"/>
              <w:rFonts w:hint="eastAsia"/>
            </w:rPr>
            <w:t>8.1.2 行业专项应用建设要求</w:t>
          </w:r>
          <w:r>
            <w:rPr>
              <w:rFonts w:hint="eastAsia"/>
            </w:rPr>
            <w:tab/>
          </w:r>
          <w:r>
            <w:rPr>
              <w:rFonts w:hint="eastAsia"/>
            </w:rPr>
            <w:fldChar w:fldCharType="begin"/>
          </w:r>
          <w:r>
            <w:rPr>
              <w:rFonts w:hint="eastAsia"/>
            </w:rPr>
            <w:instrText xml:space="preserve"> </w:instrText>
          </w:r>
          <w:r>
            <w:instrText xml:space="preserve">PAGEREF _Toc184031847 \h</w:instrText>
          </w:r>
          <w:r>
            <w:rPr>
              <w:rFonts w:hint="eastAsia"/>
            </w:rPr>
            <w:instrText xml:space="preserve"> </w:instrText>
          </w:r>
          <w:r>
            <w:rPr>
              <w:rFonts w:hint="eastAsia"/>
            </w:rPr>
            <w:fldChar w:fldCharType="separate"/>
          </w:r>
          <w:r>
            <w:t>50</w:t>
          </w:r>
          <w:r>
            <w:rPr>
              <w:rFonts w:hint="eastAsia"/>
            </w:rPr>
            <w:fldChar w:fldCharType="end"/>
          </w:r>
          <w:r>
            <w:rPr>
              <w:rFonts w:hint="eastAsia"/>
            </w:rPr>
            <w:fldChar w:fldCharType="end"/>
          </w:r>
        </w:p>
        <w:p>
          <w:pPr>
            <w:pStyle w:val="14"/>
            <w:tabs>
              <w:tab w:val="right" w:leader="dot" w:pos="8296"/>
            </w:tabs>
            <w:ind w:left="1200"/>
            <w:rPr>
              <w:rFonts w:hint="eastAsia" w:asciiTheme="minorHAnsi" w:hAnsiTheme="minorHAnsi" w:eastAsiaTheme="minorEastAsia"/>
              <w:sz w:val="21"/>
              <w:szCs w:val="22"/>
              <w14:ligatures w14:val="standardContextual"/>
            </w:rPr>
          </w:pPr>
          <w:r>
            <w:fldChar w:fldCharType="begin"/>
          </w:r>
          <w:r>
            <w:instrText xml:space="preserve"> HYPERLINK \l "_Toc184031848" </w:instrText>
          </w:r>
          <w:r>
            <w:fldChar w:fldCharType="separate"/>
          </w:r>
          <w:r>
            <w:rPr>
              <w:rStyle w:val="24"/>
              <w:rFonts w:hint="eastAsia"/>
            </w:rPr>
            <w:t>8.1.3 省市平台互联互通要求</w:t>
          </w:r>
          <w:r>
            <w:rPr>
              <w:rFonts w:hint="eastAsia"/>
            </w:rPr>
            <w:tab/>
          </w:r>
          <w:r>
            <w:rPr>
              <w:rFonts w:hint="eastAsia"/>
            </w:rPr>
            <w:fldChar w:fldCharType="begin"/>
          </w:r>
          <w:r>
            <w:rPr>
              <w:rFonts w:hint="eastAsia"/>
            </w:rPr>
            <w:instrText xml:space="preserve"> </w:instrText>
          </w:r>
          <w:r>
            <w:instrText xml:space="preserve">PAGEREF _Toc184031848 \h</w:instrText>
          </w:r>
          <w:r>
            <w:rPr>
              <w:rFonts w:hint="eastAsia"/>
            </w:rPr>
            <w:instrText xml:space="preserve"> </w:instrText>
          </w:r>
          <w:r>
            <w:rPr>
              <w:rFonts w:hint="eastAsia"/>
            </w:rPr>
            <w:fldChar w:fldCharType="separate"/>
          </w:r>
          <w:r>
            <w:t>56</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"_Toc184031849" </w:instrText>
          </w:r>
          <w:r>
            <w:fldChar w:fldCharType="separate"/>
          </w:r>
          <w:r>
            <w:rPr>
              <w:rStyle w:val="24"/>
              <w:rFonts w:hint="eastAsia"/>
            </w:rPr>
            <w:t>8.2 工程数据库建设要求</w:t>
          </w:r>
          <w:r>
            <w:rPr>
              <w:rFonts w:hint="eastAsia"/>
            </w:rPr>
            <w:tab/>
          </w:r>
          <w:r>
            <w:rPr>
              <w:rFonts w:hint="eastAsia"/>
            </w:rPr>
            <w:fldChar w:fldCharType="begin"/>
          </w:r>
          <w:r>
            <w:rPr>
              <w:rFonts w:hint="eastAsia"/>
            </w:rPr>
            <w:instrText xml:space="preserve"> </w:instrText>
          </w:r>
          <w:r>
            <w:instrText xml:space="preserve">PAGEREF _Toc184031849 \h</w:instrText>
          </w:r>
          <w:r>
            <w:rPr>
              <w:rFonts w:hint="eastAsia"/>
            </w:rPr>
            <w:instrText xml:space="preserve"> </w:instrText>
          </w:r>
          <w:r>
            <w:rPr>
              <w:rFonts w:hint="eastAsia"/>
            </w:rPr>
            <w:fldChar w:fldCharType="separate"/>
          </w:r>
          <w:r>
            <w:t>56</w:t>
          </w:r>
          <w:r>
            <w:rPr>
              <w:rFonts w:hint="eastAsia"/>
            </w:rPr>
            <w:fldChar w:fldCharType="end"/>
          </w:r>
          <w:r>
            <w:rPr>
              <w:rFonts w:hint="eastAsia"/>
            </w:rPr>
            <w:fldChar w:fldCharType="end"/>
          </w:r>
        </w:p>
        <w:p>
          <w:pPr>
            <w:pStyle w:val="14"/>
            <w:tabs>
              <w:tab w:val="right" w:leader="dot" w:pos="8296"/>
            </w:tabs>
            <w:ind w:left="1200"/>
            <w:rPr>
              <w:rFonts w:hint="eastAsia" w:asciiTheme="minorHAnsi" w:hAnsiTheme="minorHAnsi" w:eastAsiaTheme="minorEastAsia"/>
              <w:sz w:val="21"/>
              <w:szCs w:val="22"/>
              <w14:ligatures w14:val="standardContextual"/>
            </w:rPr>
          </w:pPr>
          <w:r>
            <w:fldChar w:fldCharType="begin"/>
          </w:r>
          <w:r>
            <w:instrText xml:space="preserve"> HYPERLINK \l "_Toc184031850" </w:instrText>
          </w:r>
          <w:r>
            <w:fldChar w:fldCharType="separate"/>
          </w:r>
          <w:r>
            <w:rPr>
              <w:rStyle w:val="24"/>
              <w:rFonts w:hint="eastAsia"/>
            </w:rPr>
            <w:t>8.2.1 地下市政基础设施数据</w:t>
          </w:r>
          <w:r>
            <w:rPr>
              <w:rFonts w:hint="eastAsia"/>
            </w:rPr>
            <w:tab/>
          </w:r>
          <w:r>
            <w:rPr>
              <w:rFonts w:hint="eastAsia"/>
            </w:rPr>
            <w:fldChar w:fldCharType="begin"/>
          </w:r>
          <w:r>
            <w:rPr>
              <w:rFonts w:hint="eastAsia"/>
            </w:rPr>
            <w:instrText xml:space="preserve"> </w:instrText>
          </w:r>
          <w:r>
            <w:instrText xml:space="preserve">PAGEREF _Toc184031850 \h</w:instrText>
          </w:r>
          <w:r>
            <w:rPr>
              <w:rFonts w:hint="eastAsia"/>
            </w:rPr>
            <w:instrText xml:space="preserve"> </w:instrText>
          </w:r>
          <w:r>
            <w:rPr>
              <w:rFonts w:hint="eastAsia"/>
            </w:rPr>
            <w:fldChar w:fldCharType="separate"/>
          </w:r>
          <w:r>
            <w:t>57</w:t>
          </w:r>
          <w:r>
            <w:rPr>
              <w:rFonts w:hint="eastAsia"/>
            </w:rPr>
            <w:fldChar w:fldCharType="end"/>
          </w:r>
          <w:r>
            <w:rPr>
              <w:rFonts w:hint="eastAsia"/>
            </w:rPr>
            <w:fldChar w:fldCharType="end"/>
          </w:r>
        </w:p>
        <w:p>
          <w:pPr>
            <w:pStyle w:val="14"/>
            <w:tabs>
              <w:tab w:val="right" w:leader="dot" w:pos="8296"/>
            </w:tabs>
            <w:ind w:left="1200"/>
            <w:rPr>
              <w:rFonts w:hint="eastAsia" w:asciiTheme="minorHAnsi" w:hAnsiTheme="minorHAnsi" w:eastAsiaTheme="minorEastAsia"/>
              <w:sz w:val="21"/>
              <w:szCs w:val="22"/>
              <w14:ligatures w14:val="standardContextual"/>
            </w:rPr>
          </w:pPr>
          <w:r>
            <w:fldChar w:fldCharType="begin"/>
          </w:r>
          <w:r>
            <w:instrText xml:space="preserve"> HYPERLINK \l "_Toc184031851" </w:instrText>
          </w:r>
          <w:r>
            <w:fldChar w:fldCharType="separate"/>
          </w:r>
          <w:r>
            <w:rPr>
              <w:rStyle w:val="24"/>
              <w:rFonts w:hint="eastAsia"/>
            </w:rPr>
            <w:t>8.2.2 地上市政基础设施数据</w:t>
          </w:r>
          <w:r>
            <w:rPr>
              <w:rFonts w:hint="eastAsia"/>
            </w:rPr>
            <w:tab/>
          </w:r>
          <w:r>
            <w:rPr>
              <w:rFonts w:hint="eastAsia"/>
            </w:rPr>
            <w:fldChar w:fldCharType="begin"/>
          </w:r>
          <w:r>
            <w:rPr>
              <w:rFonts w:hint="eastAsia"/>
            </w:rPr>
            <w:instrText xml:space="preserve"> </w:instrText>
          </w:r>
          <w:r>
            <w:instrText xml:space="preserve">PAGEREF _Toc184031851 \h</w:instrText>
          </w:r>
          <w:r>
            <w:rPr>
              <w:rFonts w:hint="eastAsia"/>
            </w:rPr>
            <w:instrText xml:space="preserve"> </w:instrText>
          </w:r>
          <w:r>
            <w:rPr>
              <w:rFonts w:hint="eastAsia"/>
            </w:rPr>
            <w:fldChar w:fldCharType="separate"/>
          </w:r>
          <w:r>
            <w:t>58</w:t>
          </w:r>
          <w:r>
            <w:rPr>
              <w:rFonts w:hint="eastAsia"/>
            </w:rPr>
            <w:fldChar w:fldCharType="end"/>
          </w:r>
          <w:r>
            <w:rPr>
              <w:rFonts w:hint="eastAsia"/>
            </w:rPr>
            <w:fldChar w:fldCharType="end"/>
          </w:r>
        </w:p>
        <w:p>
          <w:pPr>
            <w:pStyle w:val="14"/>
            <w:tabs>
              <w:tab w:val="right" w:leader="dot" w:pos="8296"/>
            </w:tabs>
            <w:ind w:left="1200"/>
            <w:rPr>
              <w:rFonts w:hint="eastAsia" w:asciiTheme="minorHAnsi" w:hAnsiTheme="minorHAnsi" w:eastAsiaTheme="minorEastAsia"/>
              <w:sz w:val="21"/>
              <w:szCs w:val="22"/>
              <w14:ligatures w14:val="standardContextual"/>
            </w:rPr>
          </w:pPr>
          <w:r>
            <w:fldChar w:fldCharType="begin"/>
          </w:r>
          <w:r>
            <w:instrText xml:space="preserve"> HYPERLINK \l "_Toc184031852" </w:instrText>
          </w:r>
          <w:r>
            <w:fldChar w:fldCharType="separate"/>
          </w:r>
          <w:r>
            <w:rPr>
              <w:rStyle w:val="24"/>
              <w:rFonts w:hint="eastAsia"/>
            </w:rPr>
            <w:t>8.2.3 国土空间地理数据</w:t>
          </w:r>
          <w:r>
            <w:rPr>
              <w:rFonts w:hint="eastAsia"/>
            </w:rPr>
            <w:tab/>
          </w:r>
          <w:r>
            <w:rPr>
              <w:rFonts w:hint="eastAsia"/>
            </w:rPr>
            <w:fldChar w:fldCharType="begin"/>
          </w:r>
          <w:r>
            <w:rPr>
              <w:rFonts w:hint="eastAsia"/>
            </w:rPr>
            <w:instrText xml:space="preserve"> </w:instrText>
          </w:r>
          <w:r>
            <w:instrText xml:space="preserve">PAGEREF _Toc184031852 \h</w:instrText>
          </w:r>
          <w:r>
            <w:rPr>
              <w:rFonts w:hint="eastAsia"/>
            </w:rPr>
            <w:instrText xml:space="preserve"> </w:instrText>
          </w:r>
          <w:r>
            <w:rPr>
              <w:rFonts w:hint="eastAsia"/>
            </w:rPr>
            <w:fldChar w:fldCharType="separate"/>
          </w:r>
          <w:r>
            <w:t>58</w:t>
          </w:r>
          <w:r>
            <w:rPr>
              <w:rFonts w:hint="eastAsia"/>
            </w:rPr>
            <w:fldChar w:fldCharType="end"/>
          </w:r>
          <w:r>
            <w:rPr>
              <w:rFonts w:hint="eastAsia"/>
            </w:rPr>
            <w:fldChar w:fldCharType="end"/>
          </w:r>
        </w:p>
        <w:p>
          <w:pPr>
            <w:pStyle w:val="14"/>
            <w:tabs>
              <w:tab w:val="right" w:leader="dot" w:pos="8296"/>
            </w:tabs>
            <w:ind w:left="1200"/>
            <w:rPr>
              <w:rFonts w:hint="eastAsia" w:asciiTheme="minorHAnsi" w:hAnsiTheme="minorHAnsi" w:eastAsiaTheme="minorEastAsia"/>
              <w:sz w:val="21"/>
              <w:szCs w:val="22"/>
              <w14:ligatures w14:val="standardContextual"/>
            </w:rPr>
          </w:pPr>
          <w:r>
            <w:fldChar w:fldCharType="begin"/>
          </w:r>
          <w:r>
            <w:instrText xml:space="preserve"> HYPERLINK \l "_Toc184031853" </w:instrText>
          </w:r>
          <w:r>
            <w:fldChar w:fldCharType="separate"/>
          </w:r>
          <w:r>
            <w:rPr>
              <w:rStyle w:val="24"/>
              <w:rFonts w:hint="eastAsia"/>
            </w:rPr>
            <w:t>8.2.4 市政基础设施模型数据</w:t>
          </w:r>
          <w:r>
            <w:rPr>
              <w:rFonts w:hint="eastAsia"/>
            </w:rPr>
            <w:tab/>
          </w:r>
          <w:r>
            <w:rPr>
              <w:rFonts w:hint="eastAsia"/>
            </w:rPr>
            <w:fldChar w:fldCharType="begin"/>
          </w:r>
          <w:r>
            <w:rPr>
              <w:rFonts w:hint="eastAsia"/>
            </w:rPr>
            <w:instrText xml:space="preserve"> </w:instrText>
          </w:r>
          <w:r>
            <w:instrText xml:space="preserve">PAGEREF _Toc184031853 \h</w:instrText>
          </w:r>
          <w:r>
            <w:rPr>
              <w:rFonts w:hint="eastAsia"/>
            </w:rPr>
            <w:instrText xml:space="preserve"> </w:instrText>
          </w:r>
          <w:r>
            <w:rPr>
              <w:rFonts w:hint="eastAsia"/>
            </w:rPr>
            <w:fldChar w:fldCharType="separate"/>
          </w:r>
          <w:r>
            <w:t>59</w:t>
          </w:r>
          <w:r>
            <w:rPr>
              <w:rFonts w:hint="eastAsia"/>
            </w:rPr>
            <w:fldChar w:fldCharType="end"/>
          </w:r>
          <w:r>
            <w:rPr>
              <w:rFonts w:hint="eastAsia"/>
            </w:rPr>
            <w:fldChar w:fldCharType="end"/>
          </w:r>
        </w:p>
        <w:p>
          <w:pPr>
            <w:pStyle w:val="14"/>
            <w:tabs>
              <w:tab w:val="right" w:leader="dot" w:pos="8296"/>
            </w:tabs>
            <w:ind w:left="1200"/>
            <w:rPr>
              <w:rFonts w:hint="eastAsia" w:asciiTheme="minorHAnsi" w:hAnsiTheme="minorHAnsi" w:eastAsiaTheme="minorEastAsia"/>
              <w:sz w:val="21"/>
              <w:szCs w:val="22"/>
              <w14:ligatures w14:val="standardContextual"/>
            </w:rPr>
          </w:pPr>
          <w:r>
            <w:fldChar w:fldCharType="begin"/>
          </w:r>
          <w:r>
            <w:instrText xml:space="preserve"> HYPERLINK \l "_Toc184031854" </w:instrText>
          </w:r>
          <w:r>
            <w:fldChar w:fldCharType="separate"/>
          </w:r>
          <w:r>
            <w:rPr>
              <w:rStyle w:val="24"/>
              <w:rFonts w:hint="eastAsia"/>
            </w:rPr>
            <w:t>8.2.5 社会资源数据</w:t>
          </w:r>
          <w:r>
            <w:rPr>
              <w:rFonts w:hint="eastAsia"/>
            </w:rPr>
            <w:tab/>
          </w:r>
          <w:r>
            <w:rPr>
              <w:rFonts w:hint="eastAsia"/>
            </w:rPr>
            <w:fldChar w:fldCharType="begin"/>
          </w:r>
          <w:r>
            <w:rPr>
              <w:rFonts w:hint="eastAsia"/>
            </w:rPr>
            <w:instrText xml:space="preserve"> </w:instrText>
          </w:r>
          <w:r>
            <w:instrText xml:space="preserve">PAGEREF _Toc184031854 \h</w:instrText>
          </w:r>
          <w:r>
            <w:rPr>
              <w:rFonts w:hint="eastAsia"/>
            </w:rPr>
            <w:instrText xml:space="preserve"> </w:instrText>
          </w:r>
          <w:r>
            <w:rPr>
              <w:rFonts w:hint="eastAsia"/>
            </w:rPr>
            <w:fldChar w:fldCharType="separate"/>
          </w:r>
          <w:r>
            <w:t>60</w:t>
          </w:r>
          <w:r>
            <w:rPr>
              <w:rFonts w:hint="eastAsia"/>
            </w:rPr>
            <w:fldChar w:fldCharType="end"/>
          </w:r>
          <w:r>
            <w:rPr>
              <w:rFonts w:hint="eastAsia"/>
            </w:rPr>
            <w:fldChar w:fldCharType="end"/>
          </w:r>
        </w:p>
        <w:p>
          <w:pPr>
            <w:pStyle w:val="14"/>
            <w:tabs>
              <w:tab w:val="right" w:leader="dot" w:pos="8296"/>
            </w:tabs>
            <w:ind w:left="1200"/>
            <w:rPr>
              <w:rFonts w:hint="eastAsia" w:asciiTheme="minorHAnsi" w:hAnsiTheme="minorHAnsi" w:eastAsiaTheme="minorEastAsia"/>
              <w:sz w:val="21"/>
              <w:szCs w:val="22"/>
              <w14:ligatures w14:val="standardContextual"/>
            </w:rPr>
          </w:pPr>
          <w:r>
            <w:fldChar w:fldCharType="begin"/>
          </w:r>
          <w:r>
            <w:instrText xml:space="preserve"> HYPERLINK \l "_Toc184031855" </w:instrText>
          </w:r>
          <w:r>
            <w:fldChar w:fldCharType="separate"/>
          </w:r>
          <w:r>
            <w:rPr>
              <w:rStyle w:val="24"/>
              <w:rFonts w:hint="eastAsia"/>
            </w:rPr>
            <w:t>8.2.6 专项模型分析数据</w:t>
          </w:r>
          <w:r>
            <w:rPr>
              <w:rFonts w:hint="eastAsia"/>
            </w:rPr>
            <w:tab/>
          </w:r>
          <w:r>
            <w:rPr>
              <w:rFonts w:hint="eastAsia"/>
            </w:rPr>
            <w:fldChar w:fldCharType="begin"/>
          </w:r>
          <w:r>
            <w:rPr>
              <w:rFonts w:hint="eastAsia"/>
            </w:rPr>
            <w:instrText xml:space="preserve"> </w:instrText>
          </w:r>
          <w:r>
            <w:instrText xml:space="preserve">PAGEREF _Toc184031855 \h</w:instrText>
          </w:r>
          <w:r>
            <w:rPr>
              <w:rFonts w:hint="eastAsia"/>
            </w:rPr>
            <w:instrText xml:space="preserve"> </w:instrText>
          </w:r>
          <w:r>
            <w:rPr>
              <w:rFonts w:hint="eastAsia"/>
            </w:rPr>
            <w:fldChar w:fldCharType="separate"/>
          </w:r>
          <w:r>
            <w:t>60</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"_Toc184031856" </w:instrText>
          </w:r>
          <w:r>
            <w:fldChar w:fldCharType="separate"/>
          </w:r>
          <w:r>
            <w:rPr>
              <w:rStyle w:val="24"/>
              <w:rFonts w:hint="eastAsia"/>
            </w:rPr>
            <w:t>8.3 基础支撑系统建设要求</w:t>
          </w:r>
          <w:r>
            <w:rPr>
              <w:rFonts w:hint="eastAsia"/>
            </w:rPr>
            <w:tab/>
          </w:r>
          <w:r>
            <w:rPr>
              <w:rFonts w:hint="eastAsia"/>
            </w:rPr>
            <w:fldChar w:fldCharType="begin"/>
          </w:r>
          <w:r>
            <w:rPr>
              <w:rFonts w:hint="eastAsia"/>
            </w:rPr>
            <w:instrText xml:space="preserve"> </w:instrText>
          </w:r>
          <w:r>
            <w:instrText xml:space="preserve">PAGEREF _Toc184031856 \h</w:instrText>
          </w:r>
          <w:r>
            <w:rPr>
              <w:rFonts w:hint="eastAsia"/>
            </w:rPr>
            <w:instrText xml:space="preserve"> </w:instrText>
          </w:r>
          <w:r>
            <w:rPr>
              <w:rFonts w:hint="eastAsia"/>
            </w:rPr>
            <w:fldChar w:fldCharType="separate"/>
          </w:r>
          <w:r>
            <w:t>60</w:t>
          </w:r>
          <w:r>
            <w:rPr>
              <w:rFonts w:hint="eastAsia"/>
            </w:rPr>
            <w:fldChar w:fldCharType="end"/>
          </w:r>
          <w:r>
            <w:rPr>
              <w:rFonts w:hint="eastAsia"/>
            </w:rPr>
            <w:fldChar w:fldCharType="end"/>
          </w:r>
        </w:p>
        <w:p>
          <w:pPr>
            <w:pStyle w:val="14"/>
            <w:tabs>
              <w:tab w:val="right" w:leader="dot" w:pos="8296"/>
            </w:tabs>
            <w:ind w:left="1200"/>
            <w:rPr>
              <w:rFonts w:hint="eastAsia" w:asciiTheme="minorHAnsi" w:hAnsiTheme="minorHAnsi" w:eastAsiaTheme="minorEastAsia"/>
              <w:sz w:val="21"/>
              <w:szCs w:val="22"/>
              <w14:ligatures w14:val="standardContextual"/>
            </w:rPr>
          </w:pPr>
          <w:r>
            <w:fldChar w:fldCharType="begin"/>
          </w:r>
          <w:r>
            <w:instrText xml:space="preserve"> HYPERLINK \l "_Toc184031857" </w:instrText>
          </w:r>
          <w:r>
            <w:fldChar w:fldCharType="separate"/>
          </w:r>
          <w:r>
            <w:rPr>
              <w:rStyle w:val="24"/>
              <w:rFonts w:hint="eastAsia"/>
            </w:rPr>
            <w:t>8.3.1 城市基础信息系统</w:t>
          </w:r>
          <w:r>
            <w:rPr>
              <w:rFonts w:hint="eastAsia"/>
            </w:rPr>
            <w:tab/>
          </w:r>
          <w:r>
            <w:rPr>
              <w:rFonts w:hint="eastAsia"/>
            </w:rPr>
            <w:fldChar w:fldCharType="begin"/>
          </w:r>
          <w:r>
            <w:rPr>
              <w:rFonts w:hint="eastAsia"/>
            </w:rPr>
            <w:instrText xml:space="preserve"> </w:instrText>
          </w:r>
          <w:r>
            <w:instrText xml:space="preserve">PAGEREF _Toc184031857 \h</w:instrText>
          </w:r>
          <w:r>
            <w:rPr>
              <w:rFonts w:hint="eastAsia"/>
            </w:rPr>
            <w:instrText xml:space="preserve"> </w:instrText>
          </w:r>
          <w:r>
            <w:rPr>
              <w:rFonts w:hint="eastAsia"/>
            </w:rPr>
            <w:fldChar w:fldCharType="separate"/>
          </w:r>
          <w:r>
            <w:t>61</w:t>
          </w:r>
          <w:r>
            <w:rPr>
              <w:rFonts w:hint="eastAsia"/>
            </w:rPr>
            <w:fldChar w:fldCharType="end"/>
          </w:r>
          <w:r>
            <w:rPr>
              <w:rFonts w:hint="eastAsia"/>
            </w:rPr>
            <w:fldChar w:fldCharType="end"/>
          </w:r>
        </w:p>
        <w:p>
          <w:pPr>
            <w:pStyle w:val="14"/>
            <w:tabs>
              <w:tab w:val="right" w:leader="dot" w:pos="8296"/>
            </w:tabs>
            <w:ind w:left="1200"/>
            <w:rPr>
              <w:rFonts w:hint="eastAsia" w:asciiTheme="minorHAnsi" w:hAnsiTheme="minorHAnsi" w:eastAsiaTheme="minorEastAsia"/>
              <w:sz w:val="21"/>
              <w:szCs w:val="22"/>
              <w14:ligatures w14:val="standardContextual"/>
            </w:rPr>
          </w:pPr>
          <w:r>
            <w:fldChar w:fldCharType="begin"/>
          </w:r>
          <w:r>
            <w:instrText xml:space="preserve"> HYPERLINK \l "_Toc184031858" </w:instrText>
          </w:r>
          <w:r>
            <w:fldChar w:fldCharType="separate"/>
          </w:r>
          <w:r>
            <w:rPr>
              <w:rStyle w:val="24"/>
              <w:rFonts w:hint="eastAsia"/>
            </w:rPr>
            <w:t>8.3.2 网络传输系统要求</w:t>
          </w:r>
          <w:r>
            <w:rPr>
              <w:rFonts w:hint="eastAsia"/>
            </w:rPr>
            <w:tab/>
          </w:r>
          <w:r>
            <w:rPr>
              <w:rFonts w:hint="eastAsia"/>
            </w:rPr>
            <w:fldChar w:fldCharType="begin"/>
          </w:r>
          <w:r>
            <w:rPr>
              <w:rFonts w:hint="eastAsia"/>
            </w:rPr>
            <w:instrText xml:space="preserve"> </w:instrText>
          </w:r>
          <w:r>
            <w:instrText xml:space="preserve">PAGEREF _Toc184031858 \h</w:instrText>
          </w:r>
          <w:r>
            <w:rPr>
              <w:rFonts w:hint="eastAsia"/>
            </w:rPr>
            <w:instrText xml:space="preserve"> </w:instrText>
          </w:r>
          <w:r>
            <w:rPr>
              <w:rFonts w:hint="eastAsia"/>
            </w:rPr>
            <w:fldChar w:fldCharType="separate"/>
          </w:r>
          <w:r>
            <w:t>61</w:t>
          </w:r>
          <w:r>
            <w:rPr>
              <w:rFonts w:hint="eastAsia"/>
            </w:rPr>
            <w:fldChar w:fldCharType="end"/>
          </w:r>
          <w:r>
            <w:rPr>
              <w:rFonts w:hint="eastAsia"/>
            </w:rPr>
            <w:fldChar w:fldCharType="end"/>
          </w:r>
        </w:p>
        <w:p>
          <w:pPr>
            <w:pStyle w:val="14"/>
            <w:tabs>
              <w:tab w:val="right" w:leader="dot" w:pos="8296"/>
            </w:tabs>
            <w:ind w:left="1200"/>
            <w:rPr>
              <w:rFonts w:hint="eastAsia" w:asciiTheme="minorHAnsi" w:hAnsiTheme="minorHAnsi" w:eastAsiaTheme="minorEastAsia"/>
              <w:sz w:val="21"/>
              <w:szCs w:val="22"/>
              <w14:ligatures w14:val="standardContextual"/>
            </w:rPr>
          </w:pPr>
          <w:r>
            <w:fldChar w:fldCharType="begin"/>
          </w:r>
          <w:r>
            <w:instrText xml:space="preserve"> HYPERLINK \l "_Toc184031859" </w:instrText>
          </w:r>
          <w:r>
            <w:fldChar w:fldCharType="separate"/>
          </w:r>
          <w:r>
            <w:rPr>
              <w:rStyle w:val="24"/>
              <w:rFonts w:hint="eastAsia"/>
            </w:rPr>
            <w:t>8.3.3 数据接口服务要求</w:t>
          </w:r>
          <w:r>
            <w:rPr>
              <w:rFonts w:hint="eastAsia"/>
            </w:rPr>
            <w:tab/>
          </w:r>
          <w:r>
            <w:rPr>
              <w:rFonts w:hint="eastAsia"/>
            </w:rPr>
            <w:fldChar w:fldCharType="begin"/>
          </w:r>
          <w:r>
            <w:rPr>
              <w:rFonts w:hint="eastAsia"/>
            </w:rPr>
            <w:instrText xml:space="preserve"> </w:instrText>
          </w:r>
          <w:r>
            <w:instrText xml:space="preserve">PAGEREF _Toc184031859 \h</w:instrText>
          </w:r>
          <w:r>
            <w:rPr>
              <w:rFonts w:hint="eastAsia"/>
            </w:rPr>
            <w:instrText xml:space="preserve"> </w:instrText>
          </w:r>
          <w:r>
            <w:rPr>
              <w:rFonts w:hint="eastAsia"/>
            </w:rPr>
            <w:fldChar w:fldCharType="separate"/>
          </w:r>
          <w:r>
            <w:t>62</w:t>
          </w:r>
          <w:r>
            <w:rPr>
              <w:rFonts w:hint="eastAsia"/>
            </w:rPr>
            <w:fldChar w:fldCharType="end"/>
          </w:r>
          <w:r>
            <w:rPr>
              <w:rFonts w:hint="eastAsia"/>
            </w:rPr>
            <w:fldChar w:fldCharType="end"/>
          </w:r>
        </w:p>
        <w:p>
          <w:pPr>
            <w:pStyle w:val="14"/>
            <w:tabs>
              <w:tab w:val="right" w:leader="dot" w:pos="8296"/>
            </w:tabs>
            <w:ind w:left="1200"/>
            <w:rPr>
              <w:rFonts w:hint="eastAsia" w:asciiTheme="minorHAnsi" w:hAnsiTheme="minorHAnsi" w:eastAsiaTheme="minorEastAsia"/>
              <w:sz w:val="21"/>
              <w:szCs w:val="22"/>
              <w14:ligatures w14:val="standardContextual"/>
            </w:rPr>
          </w:pPr>
          <w:r>
            <w:fldChar w:fldCharType="begin"/>
          </w:r>
          <w:r>
            <w:instrText xml:space="preserve"> HYPERLINK \l "_Toc184031860" </w:instrText>
          </w:r>
          <w:r>
            <w:fldChar w:fldCharType="separate"/>
          </w:r>
          <w:r>
            <w:rPr>
              <w:rStyle w:val="24"/>
              <w:rFonts w:hint="eastAsia"/>
            </w:rPr>
            <w:t>8.3.4 服务器与存储要求</w:t>
          </w:r>
          <w:r>
            <w:rPr>
              <w:rFonts w:hint="eastAsia"/>
            </w:rPr>
            <w:tab/>
          </w:r>
          <w:r>
            <w:rPr>
              <w:rFonts w:hint="eastAsia"/>
            </w:rPr>
            <w:fldChar w:fldCharType="begin"/>
          </w:r>
          <w:r>
            <w:rPr>
              <w:rFonts w:hint="eastAsia"/>
            </w:rPr>
            <w:instrText xml:space="preserve"> </w:instrText>
          </w:r>
          <w:r>
            <w:instrText xml:space="preserve">PAGEREF _Toc184031860 \h</w:instrText>
          </w:r>
          <w:r>
            <w:rPr>
              <w:rFonts w:hint="eastAsia"/>
            </w:rPr>
            <w:instrText xml:space="preserve"> </w:instrText>
          </w:r>
          <w:r>
            <w:rPr>
              <w:rFonts w:hint="eastAsia"/>
            </w:rPr>
            <w:fldChar w:fldCharType="separate"/>
          </w:r>
          <w:r>
            <w:t>62</w:t>
          </w:r>
          <w:r>
            <w:rPr>
              <w:rFonts w:hint="eastAsia"/>
            </w:rPr>
            <w:fldChar w:fldCharType="end"/>
          </w:r>
          <w:r>
            <w:rPr>
              <w:rFonts w:hint="eastAsia"/>
            </w:rPr>
            <w:fldChar w:fldCharType="end"/>
          </w:r>
        </w:p>
        <w:p>
          <w:pPr>
            <w:pStyle w:val="14"/>
            <w:tabs>
              <w:tab w:val="right" w:leader="dot" w:pos="8296"/>
            </w:tabs>
            <w:ind w:left="1200"/>
            <w:rPr>
              <w:rFonts w:hint="eastAsia" w:asciiTheme="minorHAnsi" w:hAnsiTheme="minorHAnsi" w:eastAsiaTheme="minorEastAsia"/>
              <w:sz w:val="21"/>
              <w:szCs w:val="22"/>
              <w14:ligatures w14:val="standardContextual"/>
            </w:rPr>
          </w:pPr>
          <w:r>
            <w:fldChar w:fldCharType="begin"/>
          </w:r>
          <w:r>
            <w:instrText xml:space="preserve"> HYPERLINK \l "_Toc184031861" </w:instrText>
          </w:r>
          <w:r>
            <w:fldChar w:fldCharType="separate"/>
          </w:r>
          <w:r>
            <w:rPr>
              <w:rStyle w:val="24"/>
              <w:rFonts w:hint="eastAsia"/>
            </w:rPr>
            <w:t>8.3.5 安全保障体系</w:t>
          </w:r>
          <w:r>
            <w:rPr>
              <w:rFonts w:hint="eastAsia"/>
            </w:rPr>
            <w:tab/>
          </w:r>
          <w:r>
            <w:rPr>
              <w:rFonts w:hint="eastAsia"/>
            </w:rPr>
            <w:fldChar w:fldCharType="begin"/>
          </w:r>
          <w:r>
            <w:rPr>
              <w:rFonts w:hint="eastAsia"/>
            </w:rPr>
            <w:instrText xml:space="preserve"> </w:instrText>
          </w:r>
          <w:r>
            <w:instrText xml:space="preserve">PAGEREF _Toc184031861 \h</w:instrText>
          </w:r>
          <w:r>
            <w:rPr>
              <w:rFonts w:hint="eastAsia"/>
            </w:rPr>
            <w:instrText xml:space="preserve"> </w:instrText>
          </w:r>
          <w:r>
            <w:rPr>
              <w:rFonts w:hint="eastAsia"/>
            </w:rPr>
            <w:fldChar w:fldCharType="separate"/>
          </w:r>
          <w:r>
            <w:t>64</w:t>
          </w:r>
          <w:r>
            <w:rPr>
              <w:rFonts w:hint="eastAsia"/>
            </w:rPr>
            <w:fldChar w:fldCharType="end"/>
          </w:r>
          <w:r>
            <w:rPr>
              <w:rFonts w:hint="eastAsia"/>
            </w:rPr>
            <w:fldChar w:fldCharType="end"/>
          </w:r>
        </w:p>
        <w:p>
          <w:pPr>
            <w:pStyle w:val="18"/>
            <w:tabs>
              <w:tab w:val="right" w:leader="dot" w:pos="8296"/>
            </w:tabs>
            <w:rPr>
              <w:rFonts w:hint="eastAsia" w:asciiTheme="minorHAnsi" w:hAnsiTheme="minorHAnsi" w:eastAsiaTheme="minorEastAsia"/>
              <w:sz w:val="21"/>
              <w:szCs w:val="22"/>
              <w14:ligatures w14:val="standardContextual"/>
            </w:rPr>
          </w:pPr>
          <w:r>
            <w:fldChar w:fldCharType="begin"/>
          </w:r>
          <w:r>
            <w:instrText xml:space="preserve"> HYPERLINK \l "_Toc184031862" </w:instrText>
          </w:r>
          <w:r>
            <w:fldChar w:fldCharType="separate"/>
          </w:r>
          <w:r>
            <w:rPr>
              <w:rStyle w:val="24"/>
              <w:rFonts w:hint="eastAsia"/>
            </w:rPr>
            <w:t>第9章 创新管理机制要求</w:t>
          </w:r>
          <w:r>
            <w:rPr>
              <w:rFonts w:hint="eastAsia"/>
            </w:rPr>
            <w:tab/>
          </w:r>
          <w:r>
            <w:rPr>
              <w:rFonts w:hint="eastAsia"/>
            </w:rPr>
            <w:fldChar w:fldCharType="begin"/>
          </w:r>
          <w:r>
            <w:rPr>
              <w:rFonts w:hint="eastAsia"/>
            </w:rPr>
            <w:instrText xml:space="preserve"> </w:instrText>
          </w:r>
          <w:r>
            <w:instrText xml:space="preserve">PAGEREF _Toc184031862 \h</w:instrText>
          </w:r>
          <w:r>
            <w:rPr>
              <w:rFonts w:hint="eastAsia"/>
            </w:rPr>
            <w:instrText xml:space="preserve"> </w:instrText>
          </w:r>
          <w:r>
            <w:rPr>
              <w:rFonts w:hint="eastAsia"/>
            </w:rPr>
            <w:fldChar w:fldCharType="separate"/>
          </w:r>
          <w:r>
            <w:t>65</w:t>
          </w:r>
          <w:r>
            <w:rPr>
              <w:rFonts w:hint="eastAsia"/>
            </w:rPr>
            <w:fldChar w:fldCharType="end"/>
          </w:r>
          <w:r>
            <w:rPr>
              <w:rFonts w:hint="eastAsia"/>
            </w:rPr>
            <w:fldChar w:fldCharType="end"/>
          </w:r>
        </w:p>
        <w:p>
          <w:pPr>
            <w:pStyle w:val="18"/>
            <w:tabs>
              <w:tab w:val="right" w:leader="dot" w:pos="8296"/>
            </w:tabs>
            <w:rPr>
              <w:rFonts w:hint="eastAsia" w:asciiTheme="minorHAnsi" w:hAnsiTheme="minorHAnsi" w:eastAsiaTheme="minorEastAsia"/>
              <w:sz w:val="21"/>
              <w:szCs w:val="22"/>
              <w14:ligatures w14:val="standardContextual"/>
            </w:rPr>
          </w:pPr>
          <w:r>
            <w:fldChar w:fldCharType="begin"/>
          </w:r>
          <w:r>
            <w:instrText xml:space="preserve"> HYPERLINK \l "_Toc184031863" </w:instrText>
          </w:r>
          <w:r>
            <w:fldChar w:fldCharType="separate"/>
          </w:r>
          <w:r>
            <w:rPr>
              <w:rStyle w:val="24"/>
              <w:rFonts w:hint="eastAsia"/>
            </w:rPr>
            <w:t>第10章 建立健全应急处置机制要求</w:t>
          </w:r>
          <w:r>
            <w:rPr>
              <w:rFonts w:hint="eastAsia"/>
            </w:rPr>
            <w:tab/>
          </w:r>
          <w:r>
            <w:rPr>
              <w:rFonts w:hint="eastAsia"/>
            </w:rPr>
            <w:fldChar w:fldCharType="begin"/>
          </w:r>
          <w:r>
            <w:rPr>
              <w:rFonts w:hint="eastAsia"/>
            </w:rPr>
            <w:instrText xml:space="preserve"> </w:instrText>
          </w:r>
          <w:r>
            <w:instrText xml:space="preserve">PAGEREF _Toc184031863 \h</w:instrText>
          </w:r>
          <w:r>
            <w:rPr>
              <w:rFonts w:hint="eastAsia"/>
            </w:rPr>
            <w:instrText xml:space="preserve"> </w:instrText>
          </w:r>
          <w:r>
            <w:rPr>
              <w:rFonts w:hint="eastAsia"/>
            </w:rPr>
            <w:fldChar w:fldCharType="separate"/>
          </w:r>
          <w:r>
            <w:t>67</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"_Toc184031864" </w:instrText>
          </w:r>
          <w:r>
            <w:fldChar w:fldCharType="separate"/>
          </w:r>
          <w:r>
            <w:rPr>
              <w:rStyle w:val="24"/>
              <w:rFonts w:hint="eastAsia"/>
            </w:rPr>
            <w:t>10.1 功能分区</w:t>
          </w:r>
          <w:r>
            <w:rPr>
              <w:rFonts w:hint="eastAsia"/>
            </w:rPr>
            <w:tab/>
          </w:r>
          <w:r>
            <w:rPr>
              <w:rFonts w:hint="eastAsia"/>
            </w:rPr>
            <w:fldChar w:fldCharType="begin"/>
          </w:r>
          <w:r>
            <w:rPr>
              <w:rFonts w:hint="eastAsia"/>
            </w:rPr>
            <w:instrText xml:space="preserve"> </w:instrText>
          </w:r>
          <w:r>
            <w:instrText xml:space="preserve">PAGEREF _Toc184031864 \h</w:instrText>
          </w:r>
          <w:r>
            <w:rPr>
              <w:rFonts w:hint="eastAsia"/>
            </w:rPr>
            <w:instrText xml:space="preserve"> </w:instrText>
          </w:r>
          <w:r>
            <w:rPr>
              <w:rFonts w:hint="eastAsia"/>
            </w:rPr>
            <w:fldChar w:fldCharType="separate"/>
          </w:r>
          <w:r>
            <w:t>67</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"_Toc184031865" </w:instrText>
          </w:r>
          <w:r>
            <w:fldChar w:fldCharType="separate"/>
          </w:r>
          <w:r>
            <w:rPr>
              <w:rStyle w:val="24"/>
              <w:rFonts w:hint="eastAsia"/>
            </w:rPr>
            <w:t>10.2 岗位设置</w:t>
          </w:r>
          <w:r>
            <w:rPr>
              <w:rFonts w:hint="eastAsia"/>
            </w:rPr>
            <w:tab/>
          </w:r>
          <w:r>
            <w:rPr>
              <w:rFonts w:hint="eastAsia"/>
            </w:rPr>
            <w:fldChar w:fldCharType="begin"/>
          </w:r>
          <w:r>
            <w:rPr>
              <w:rFonts w:hint="eastAsia"/>
            </w:rPr>
            <w:instrText xml:space="preserve"> </w:instrText>
          </w:r>
          <w:r>
            <w:instrText xml:space="preserve">PAGEREF _Toc184031865 \h</w:instrText>
          </w:r>
          <w:r>
            <w:rPr>
              <w:rFonts w:hint="eastAsia"/>
            </w:rPr>
            <w:instrText xml:space="preserve"> </w:instrText>
          </w:r>
          <w:r>
            <w:rPr>
              <w:rFonts w:hint="eastAsia"/>
            </w:rPr>
            <w:fldChar w:fldCharType="separate"/>
          </w:r>
          <w:r>
            <w:t>68</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"_Toc184031866" </w:instrText>
          </w:r>
          <w:r>
            <w:fldChar w:fldCharType="separate"/>
          </w:r>
          <w:r>
            <w:rPr>
              <w:rStyle w:val="24"/>
              <w:rFonts w:hint="eastAsia"/>
            </w:rPr>
            <w:t>10.3 监测值守</w:t>
          </w:r>
          <w:r>
            <w:rPr>
              <w:rFonts w:hint="eastAsia"/>
            </w:rPr>
            <w:tab/>
          </w:r>
          <w:r>
            <w:rPr>
              <w:rFonts w:hint="eastAsia"/>
            </w:rPr>
            <w:fldChar w:fldCharType="begin"/>
          </w:r>
          <w:r>
            <w:rPr>
              <w:rFonts w:hint="eastAsia"/>
            </w:rPr>
            <w:instrText xml:space="preserve"> </w:instrText>
          </w:r>
          <w:r>
            <w:instrText xml:space="preserve">PAGEREF _Toc184031866 \h</w:instrText>
          </w:r>
          <w:r>
            <w:rPr>
              <w:rFonts w:hint="eastAsia"/>
            </w:rPr>
            <w:instrText xml:space="preserve"> </w:instrText>
          </w:r>
          <w:r>
            <w:rPr>
              <w:rFonts w:hint="eastAsia"/>
            </w:rPr>
            <w:fldChar w:fldCharType="separate"/>
          </w:r>
          <w:r>
            <w:t>69</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"_Toc184031867" </w:instrText>
          </w:r>
          <w:r>
            <w:fldChar w:fldCharType="separate"/>
          </w:r>
          <w:r>
            <w:rPr>
              <w:rStyle w:val="24"/>
              <w:rFonts w:hint="eastAsia"/>
            </w:rPr>
            <w:t>10.4 警情研判</w:t>
          </w:r>
          <w:r>
            <w:rPr>
              <w:rFonts w:hint="eastAsia"/>
            </w:rPr>
            <w:tab/>
          </w:r>
          <w:r>
            <w:rPr>
              <w:rFonts w:hint="eastAsia"/>
            </w:rPr>
            <w:fldChar w:fldCharType="begin"/>
          </w:r>
          <w:r>
            <w:rPr>
              <w:rFonts w:hint="eastAsia"/>
            </w:rPr>
            <w:instrText xml:space="preserve"> </w:instrText>
          </w:r>
          <w:r>
            <w:instrText xml:space="preserve">PAGEREF _Toc184031867 \h</w:instrText>
          </w:r>
          <w:r>
            <w:rPr>
              <w:rFonts w:hint="eastAsia"/>
            </w:rPr>
            <w:instrText xml:space="preserve"> </w:instrText>
          </w:r>
          <w:r>
            <w:rPr>
              <w:rFonts w:hint="eastAsia"/>
            </w:rPr>
            <w:fldChar w:fldCharType="separate"/>
          </w:r>
          <w:r>
            <w:t>69</w:t>
          </w:r>
          <w:r>
            <w:rPr>
              <w:rFonts w:hint="eastAsia"/>
            </w:rPr>
            <w:fldChar w:fldCharType="end"/>
          </w:r>
          <w:r>
            <w:rPr>
              <w:rFonts w:hint="eastAsia"/>
            </w:rPr>
            <w:fldChar w:fldCharType="end"/>
          </w:r>
        </w:p>
        <w:p>
          <w:pPr>
            <w:pStyle w:val="14"/>
            <w:tabs>
              <w:tab w:val="right" w:leader="dot" w:pos="8296"/>
            </w:tabs>
            <w:ind w:left="1200"/>
            <w:rPr>
              <w:rFonts w:hint="eastAsia" w:asciiTheme="minorHAnsi" w:hAnsiTheme="minorHAnsi" w:eastAsiaTheme="minorEastAsia"/>
              <w:sz w:val="21"/>
              <w:szCs w:val="22"/>
              <w14:ligatures w14:val="standardContextual"/>
            </w:rPr>
          </w:pPr>
          <w:r>
            <w:fldChar w:fldCharType="begin"/>
          </w:r>
          <w:r>
            <w:instrText xml:space="preserve"> HYPERLINK \l "_Toc184031868" </w:instrText>
          </w:r>
          <w:r>
            <w:fldChar w:fldCharType="separate"/>
          </w:r>
          <w:r>
            <w:rPr>
              <w:rStyle w:val="24"/>
              <w:rFonts w:hint="eastAsia"/>
            </w:rPr>
            <w:t>10.4.1 报警分析</w:t>
          </w:r>
          <w:r>
            <w:rPr>
              <w:rFonts w:hint="eastAsia"/>
            </w:rPr>
            <w:tab/>
          </w:r>
          <w:r>
            <w:rPr>
              <w:rFonts w:hint="eastAsia"/>
            </w:rPr>
            <w:fldChar w:fldCharType="begin"/>
          </w:r>
          <w:r>
            <w:rPr>
              <w:rFonts w:hint="eastAsia"/>
            </w:rPr>
            <w:instrText xml:space="preserve"> </w:instrText>
          </w:r>
          <w:r>
            <w:instrText xml:space="preserve">PAGEREF _Toc184031868 \h</w:instrText>
          </w:r>
          <w:r>
            <w:rPr>
              <w:rFonts w:hint="eastAsia"/>
            </w:rPr>
            <w:instrText xml:space="preserve"> </w:instrText>
          </w:r>
          <w:r>
            <w:rPr>
              <w:rFonts w:hint="eastAsia"/>
            </w:rPr>
            <w:fldChar w:fldCharType="separate"/>
          </w:r>
          <w:r>
            <w:t>69</w:t>
          </w:r>
          <w:r>
            <w:rPr>
              <w:rFonts w:hint="eastAsia"/>
            </w:rPr>
            <w:fldChar w:fldCharType="end"/>
          </w:r>
          <w:r>
            <w:rPr>
              <w:rFonts w:hint="eastAsia"/>
            </w:rPr>
            <w:fldChar w:fldCharType="end"/>
          </w:r>
        </w:p>
        <w:p>
          <w:pPr>
            <w:pStyle w:val="14"/>
            <w:tabs>
              <w:tab w:val="right" w:leader="dot" w:pos="8296"/>
            </w:tabs>
            <w:ind w:left="1200"/>
            <w:rPr>
              <w:rFonts w:hint="eastAsia" w:asciiTheme="minorHAnsi" w:hAnsiTheme="minorHAnsi" w:eastAsiaTheme="minorEastAsia"/>
              <w:sz w:val="21"/>
              <w:szCs w:val="22"/>
              <w14:ligatures w14:val="standardContextual"/>
            </w:rPr>
          </w:pPr>
          <w:r>
            <w:fldChar w:fldCharType="begin"/>
          </w:r>
          <w:r>
            <w:instrText xml:space="preserve"> HYPERLINK \l "_Toc184031869" </w:instrText>
          </w:r>
          <w:r>
            <w:fldChar w:fldCharType="separate"/>
          </w:r>
          <w:r>
            <w:rPr>
              <w:rStyle w:val="24"/>
              <w:rFonts w:hint="eastAsia"/>
            </w:rPr>
            <w:t>10.4.2 预警分级</w:t>
          </w:r>
          <w:r>
            <w:rPr>
              <w:rFonts w:hint="eastAsia"/>
            </w:rPr>
            <w:tab/>
          </w:r>
          <w:r>
            <w:rPr>
              <w:rFonts w:hint="eastAsia"/>
            </w:rPr>
            <w:fldChar w:fldCharType="begin"/>
          </w:r>
          <w:r>
            <w:rPr>
              <w:rFonts w:hint="eastAsia"/>
            </w:rPr>
            <w:instrText xml:space="preserve"> </w:instrText>
          </w:r>
          <w:r>
            <w:instrText xml:space="preserve">PAGEREF _Toc184031869 \h</w:instrText>
          </w:r>
          <w:r>
            <w:rPr>
              <w:rFonts w:hint="eastAsia"/>
            </w:rPr>
            <w:instrText xml:space="preserve"> </w:instrText>
          </w:r>
          <w:r>
            <w:rPr>
              <w:rFonts w:hint="eastAsia"/>
            </w:rPr>
            <w:fldChar w:fldCharType="separate"/>
          </w:r>
          <w:r>
            <w:t>70</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"_Toc184031870" </w:instrText>
          </w:r>
          <w:r>
            <w:fldChar w:fldCharType="separate"/>
          </w:r>
          <w:r>
            <w:rPr>
              <w:rStyle w:val="24"/>
              <w:rFonts w:hint="eastAsia"/>
            </w:rPr>
            <w:t>10.5 联动响应</w:t>
          </w:r>
          <w:r>
            <w:rPr>
              <w:rFonts w:hint="eastAsia"/>
            </w:rPr>
            <w:tab/>
          </w:r>
          <w:r>
            <w:rPr>
              <w:rFonts w:hint="eastAsia"/>
            </w:rPr>
            <w:fldChar w:fldCharType="begin"/>
          </w:r>
          <w:r>
            <w:rPr>
              <w:rFonts w:hint="eastAsia"/>
            </w:rPr>
            <w:instrText xml:space="preserve"> </w:instrText>
          </w:r>
          <w:r>
            <w:instrText xml:space="preserve">PAGEREF _Toc184031870 \h</w:instrText>
          </w:r>
          <w:r>
            <w:rPr>
              <w:rFonts w:hint="eastAsia"/>
            </w:rPr>
            <w:instrText xml:space="preserve"> </w:instrText>
          </w:r>
          <w:r>
            <w:rPr>
              <w:rFonts w:hint="eastAsia"/>
            </w:rPr>
            <w:fldChar w:fldCharType="separate"/>
          </w:r>
          <w:r>
            <w:t>71</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"_Toc184031871" </w:instrText>
          </w:r>
          <w:r>
            <w:fldChar w:fldCharType="separate"/>
          </w:r>
          <w:r>
            <w:rPr>
              <w:rStyle w:val="24"/>
              <w:rFonts w:hint="eastAsia"/>
            </w:rPr>
            <w:t>10.6 运行维护</w:t>
          </w:r>
          <w:r>
            <w:rPr>
              <w:rFonts w:hint="eastAsia"/>
            </w:rPr>
            <w:tab/>
          </w:r>
          <w:r>
            <w:rPr>
              <w:rFonts w:hint="eastAsia"/>
            </w:rPr>
            <w:fldChar w:fldCharType="begin"/>
          </w:r>
          <w:r>
            <w:rPr>
              <w:rFonts w:hint="eastAsia"/>
            </w:rPr>
            <w:instrText xml:space="preserve"> </w:instrText>
          </w:r>
          <w:r>
            <w:instrText xml:space="preserve">PAGEREF _Toc184031871 \h</w:instrText>
          </w:r>
          <w:r>
            <w:rPr>
              <w:rFonts w:hint="eastAsia"/>
            </w:rPr>
            <w:instrText xml:space="preserve"> </w:instrText>
          </w:r>
          <w:r>
            <w:rPr>
              <w:rFonts w:hint="eastAsia"/>
            </w:rPr>
            <w:fldChar w:fldCharType="separate"/>
          </w:r>
          <w:r>
            <w:t>74</w:t>
          </w:r>
          <w:r>
            <w:rPr>
              <w:rFonts w:hint="eastAsia"/>
            </w:rPr>
            <w:fldChar w:fldCharType="end"/>
          </w:r>
          <w:r>
            <w:rPr>
              <w:rFonts w:hint="eastAsia"/>
            </w:rPr>
            <w:fldChar w:fldCharType="end"/>
          </w:r>
        </w:p>
        <w:p>
          <w:pPr>
            <w:pStyle w:val="19"/>
            <w:tabs>
              <w:tab w:val="right" w:leader="dot" w:pos="8296"/>
            </w:tabs>
            <w:ind w:left="600"/>
            <w:rPr>
              <w:rFonts w:hint="eastAsia" w:asciiTheme="minorHAnsi" w:hAnsiTheme="minorHAnsi" w:eastAsiaTheme="minorEastAsia"/>
              <w:sz w:val="21"/>
              <w:szCs w:val="22"/>
              <w14:ligatures w14:val="standardContextual"/>
            </w:rPr>
          </w:pPr>
          <w:r>
            <w:fldChar w:fldCharType="begin"/>
          </w:r>
          <w:r>
            <w:instrText xml:space="preserve"> HYPERLINK \l "_Toc184031872" </w:instrText>
          </w:r>
          <w:r>
            <w:fldChar w:fldCharType="separate"/>
          </w:r>
          <w:r>
            <w:rPr>
              <w:rStyle w:val="24"/>
              <w:rFonts w:hint="eastAsia"/>
            </w:rPr>
            <w:t>10.7 考核评估</w:t>
          </w:r>
          <w:r>
            <w:rPr>
              <w:rFonts w:hint="eastAsia"/>
            </w:rPr>
            <w:tab/>
          </w:r>
          <w:r>
            <w:rPr>
              <w:rFonts w:hint="eastAsia"/>
            </w:rPr>
            <w:fldChar w:fldCharType="begin"/>
          </w:r>
          <w:r>
            <w:rPr>
              <w:rFonts w:hint="eastAsia"/>
            </w:rPr>
            <w:instrText xml:space="preserve"> </w:instrText>
          </w:r>
          <w:r>
            <w:instrText xml:space="preserve">PAGEREF _Toc184031872 \h</w:instrText>
          </w:r>
          <w:r>
            <w:rPr>
              <w:rFonts w:hint="eastAsia"/>
            </w:rPr>
            <w:instrText xml:space="preserve"> </w:instrText>
          </w:r>
          <w:r>
            <w:rPr>
              <w:rFonts w:hint="eastAsia"/>
            </w:rPr>
            <w:fldChar w:fldCharType="separate"/>
          </w:r>
          <w:r>
            <w:t>75</w:t>
          </w:r>
          <w:r>
            <w:rPr>
              <w:rFonts w:hint="eastAsia"/>
            </w:rPr>
            <w:fldChar w:fldCharType="end"/>
          </w:r>
          <w:r>
            <w:rPr>
              <w:rFonts w:hint="eastAsia"/>
            </w:rPr>
            <w:fldChar w:fldCharType="end"/>
          </w:r>
        </w:p>
        <w:p>
          <w:pPr>
            <w:spacing w:after="156"/>
            <w:ind w:firstLine="602"/>
            <w:rPr>
              <w:b/>
              <w:bCs/>
              <w:lang w:val="zh-CN"/>
            </w:rPr>
            <w:sectPr>
              <w:footerReference r:id="rId7" w:type="default"/>
              <w:pgSz w:w="11906" w:h="16838"/>
              <w:pgMar w:top="1440" w:right="1800" w:bottom="1440" w:left="1800" w:header="851" w:footer="992" w:gutter="0"/>
              <w:pgNumType w:fmt="upperRoman" w:start="1"/>
              <w:cols w:space="425" w:num="1"/>
              <w:docGrid w:type="lines" w:linePitch="312" w:charSpace="0"/>
            </w:sectPr>
          </w:pPr>
          <w:r>
            <w:rPr>
              <w:b/>
              <w:bCs/>
              <w:lang w:val="zh-CN"/>
            </w:rPr>
            <w:fldChar w:fldCharType="end"/>
          </w:r>
        </w:p>
        <w:p>
          <w:pPr>
            <w:spacing w:after="156"/>
            <w:ind w:firstLine="602"/>
          </w:pPr>
          <w:bookmarkStart w:id="148" w:name="_GoBack"/>
          <w:bookmarkEnd w:id="148"/>
        </w:p>
      </w:sdtContent>
    </w:sdt>
    <w:p>
      <w:pPr>
        <w:spacing w:after="156"/>
        <w:ind w:firstLine="0" w:firstLineChars="0"/>
        <w:sectPr>
          <w:pgSz w:w="11906" w:h="16838"/>
          <w:pgMar w:top="1440" w:right="1800" w:bottom="1440" w:left="1800" w:header="851" w:footer="992" w:gutter="0"/>
          <w:pgNumType w:fmt="upperRoman" w:start="1"/>
          <w:cols w:space="425" w:num="1"/>
          <w:docGrid w:type="lines" w:linePitch="312" w:charSpace="0"/>
        </w:sectPr>
      </w:pPr>
    </w:p>
    <w:p>
      <w:pPr>
        <w:pStyle w:val="2"/>
        <w:spacing w:after="156"/>
      </w:pPr>
      <w:bookmarkStart w:id="0" w:name="_Toc184031811"/>
      <w:bookmarkStart w:id="1" w:name="_Toc182299722"/>
      <w:r>
        <w:rPr>
          <w:rFonts w:hint="eastAsia"/>
        </w:rPr>
        <w:t>总则</w:t>
      </w:r>
      <w:bookmarkEnd w:id="0"/>
      <w:bookmarkEnd w:id="1"/>
    </w:p>
    <w:p>
      <w:pPr>
        <w:pStyle w:val="3"/>
        <w:spacing w:after="156"/>
      </w:pPr>
      <w:bookmarkStart w:id="2" w:name="_Toc184031812"/>
      <w:bookmarkStart w:id="3" w:name="_Toc182299723"/>
      <w:r>
        <w:rPr>
          <w:rFonts w:hint="eastAsia"/>
        </w:rPr>
        <w:t>概述</w:t>
      </w:r>
      <w:bookmarkEnd w:id="2"/>
      <w:bookmarkEnd w:id="3"/>
    </w:p>
    <w:p>
      <w:pPr>
        <w:spacing w:after="156"/>
      </w:pPr>
      <w:r>
        <w:rPr>
          <w:rFonts w:hint="eastAsia"/>
        </w:rPr>
        <w:t>为深入贯彻落实党的二十大精神和</w:t>
      </w:r>
      <w:bookmarkStart w:id="4" w:name="_Hlk161063203"/>
      <w:r>
        <w:rPr>
          <w:rFonts w:hint="eastAsia"/>
        </w:rPr>
        <w:t>习近平总书记关于城市基础设施安全的重要</w:t>
      </w:r>
      <w:bookmarkEnd w:id="4"/>
      <w:r>
        <w:rPr>
          <w:rFonts w:hint="eastAsia"/>
        </w:rPr>
        <w:t>指示，落实《住房城乡建设部关于推进城市基础设施生命线安全工程的指导意见》《住房和城乡建设部关于加强城市地下市政基础设施建设的指导意见》《湖南省住房和城乡建设厅关于加强县以上城市地下市政基础设施建设和运行管理的实施意见》《湖南省城市基础设施生命线安全工程提升行动实施方案》等文件要求，湖南省住房和城乡建设厅组织编制了湖南省城市基础设施生命线安全工程建设指南（以下简称“本指南”），指导全省城市基础设施生命线安全工程建设和运行。</w:t>
      </w:r>
    </w:p>
    <w:p>
      <w:pPr>
        <w:tabs>
          <w:tab w:val="left" w:pos="3544"/>
        </w:tabs>
        <w:spacing w:after="156"/>
      </w:pPr>
      <w:r>
        <w:rPr>
          <w:rFonts w:hint="eastAsia"/>
        </w:rPr>
        <w:t>城市基础设施生命线安全工程是指运用现代信息技术，对城市燃气、供水、排水、桥梁、隧道、热力、管廊等城市基础设施运行状况进行实时监测、动态预警、精准溯源、协同处置，及时发现和管控风险隐患，有效防范事故发生，保障城市基础设施生命线安全运行的系统性工程。当前，我省城市基础设施安全运行形势严峻复杂，各类风险易发多发，迫切需要采取有力有效措施，提高城市安全韧性。</w:t>
      </w:r>
    </w:p>
    <w:p>
      <w:pPr>
        <w:pStyle w:val="3"/>
        <w:spacing w:after="156"/>
      </w:pPr>
      <w:bookmarkStart w:id="5" w:name="_Toc182299724"/>
      <w:bookmarkStart w:id="6" w:name="_Toc184031813"/>
      <w:r>
        <w:rPr>
          <w:rFonts w:hint="eastAsia"/>
        </w:rPr>
        <w:t>目标定位</w:t>
      </w:r>
      <w:bookmarkEnd w:id="5"/>
      <w:bookmarkEnd w:id="6"/>
    </w:p>
    <w:p>
      <w:pPr>
        <w:spacing w:after="156"/>
      </w:pPr>
      <w:r>
        <w:rPr>
          <w:rFonts w:hint="eastAsia"/>
        </w:rPr>
        <w:t>本指南是湖南省现阶段全面启动城市基础设施生命线安全工程建设，开展建设方案设计、工程实施、系统运行维护工作的基本遵循和重要依据。</w:t>
      </w:r>
    </w:p>
    <w:p>
      <w:pPr>
        <w:pStyle w:val="3"/>
        <w:spacing w:after="156"/>
      </w:pPr>
      <w:bookmarkStart w:id="7" w:name="_Toc184031814"/>
      <w:bookmarkStart w:id="8" w:name="_Toc182299725"/>
      <w:r>
        <w:rPr>
          <w:rFonts w:hint="eastAsia"/>
        </w:rPr>
        <w:t>适用范围</w:t>
      </w:r>
      <w:bookmarkEnd w:id="7"/>
      <w:bookmarkEnd w:id="8"/>
    </w:p>
    <w:p>
      <w:pPr>
        <w:spacing w:after="156"/>
      </w:pPr>
      <w:r>
        <w:rPr>
          <w:rFonts w:hint="eastAsia"/>
        </w:rPr>
        <w:t>本指南适用于现阶段指导和规范湖南省各市州，围绕《湖南省城市基础设施生命线安全工程提升行动实施方案》的八项重点任务要求，开展城市基础设施生命线安全工程的建设和运行工作，指导规范风险评估、构建建设改造项目库、编制城市地下管线综合规划、落实“综合改一次”、搭建监测感知网、构建安全运行监测平台、创新管理机制、建立健全应急处置机制等工作内容。</w:t>
      </w:r>
    </w:p>
    <w:p>
      <w:pPr>
        <w:pStyle w:val="3"/>
        <w:spacing w:after="156"/>
      </w:pPr>
      <w:bookmarkStart w:id="9" w:name="_Toc182299726"/>
      <w:bookmarkStart w:id="10" w:name="_Toc184031815"/>
      <w:r>
        <w:rPr>
          <w:rFonts w:hint="eastAsia"/>
        </w:rPr>
        <w:t>标准规范依据</w:t>
      </w:r>
      <w:bookmarkEnd w:id="9"/>
      <w:bookmarkEnd w:id="10"/>
    </w:p>
    <w:p>
      <w:pPr>
        <w:spacing w:after="156"/>
      </w:pPr>
      <w:r>
        <w:rPr>
          <w:rFonts w:hint="eastAsia"/>
        </w:rPr>
        <w:t>本指南参考的标准规范主要包括：</w:t>
      </w:r>
    </w:p>
    <w:p>
      <w:pPr>
        <w:spacing w:after="156" w:line="240" w:lineRule="auto"/>
        <w:ind w:left="567" w:firstLine="0" w:firstLineChars="0"/>
      </w:pPr>
      <w:r>
        <w:rPr>
          <w:rFonts w:hint="eastAsia"/>
        </w:rPr>
        <w:t>1．《城市综合地下管线信息系统技术规范》CJJ/T269</w:t>
      </w:r>
    </w:p>
    <w:p>
      <w:pPr>
        <w:spacing w:after="156" w:line="240" w:lineRule="auto"/>
        <w:ind w:left="567" w:firstLine="0" w:firstLineChars="0"/>
      </w:pPr>
      <w:r>
        <w:rPr>
          <w:rFonts w:hint="eastAsia"/>
        </w:rPr>
        <w:t>2．《风险管理风险评估技术》GB/T27921</w:t>
      </w:r>
    </w:p>
    <w:p>
      <w:pPr>
        <w:spacing w:after="156"/>
        <w:ind w:left="567" w:firstLine="0" w:firstLineChars="0"/>
      </w:pPr>
      <w:r>
        <w:rPr>
          <w:rFonts w:hint="eastAsia"/>
        </w:rPr>
        <w:t>3．《埋地钢质管道阴极保护参数测量方法》GB/T21246</w:t>
      </w:r>
    </w:p>
    <w:p>
      <w:pPr>
        <w:spacing w:after="156"/>
        <w:ind w:left="567" w:firstLine="0" w:firstLineChars="0"/>
      </w:pPr>
      <w:r>
        <w:rPr>
          <w:rFonts w:hint="eastAsia"/>
        </w:rPr>
        <w:t>4．《城镇燃气设计规范》GB50028</w:t>
      </w:r>
    </w:p>
    <w:p>
      <w:pPr>
        <w:spacing w:after="156"/>
        <w:ind w:left="567" w:firstLine="0" w:firstLineChars="0"/>
      </w:pPr>
      <w:r>
        <w:rPr>
          <w:rFonts w:hint="eastAsia"/>
        </w:rPr>
        <w:t>5．《城镇燃气报警控制系统技术规程》CJJ/T146</w:t>
      </w:r>
    </w:p>
    <w:p>
      <w:pPr>
        <w:spacing w:after="156"/>
        <w:ind w:left="567" w:firstLine="0" w:firstLineChars="0"/>
      </w:pPr>
      <w:r>
        <w:rPr>
          <w:rFonts w:hint="eastAsia"/>
        </w:rPr>
        <w:t>6．《城镇燃气管网泄漏检测技术规程》CJJ/T215</w:t>
      </w:r>
    </w:p>
    <w:p>
      <w:pPr>
        <w:spacing w:after="156"/>
        <w:ind w:left="567" w:firstLine="0" w:firstLineChars="0"/>
      </w:pPr>
      <w:r>
        <w:rPr>
          <w:rFonts w:hint="eastAsia"/>
        </w:rPr>
        <w:t>7．《城镇燃气工程智能化技术规范》CJJ/T268</w:t>
      </w:r>
    </w:p>
    <w:p>
      <w:pPr>
        <w:spacing w:after="156"/>
        <w:ind w:left="567" w:firstLine="0" w:firstLineChars="0"/>
      </w:pPr>
      <w:r>
        <w:rPr>
          <w:rFonts w:hint="eastAsia"/>
        </w:rPr>
        <w:t>8．《城镇供水服务》GB/T32063</w:t>
      </w:r>
    </w:p>
    <w:p>
      <w:pPr>
        <w:spacing w:after="156"/>
        <w:ind w:left="567" w:firstLine="0" w:firstLineChars="0"/>
      </w:pPr>
      <w:r>
        <w:rPr>
          <w:rFonts w:hint="eastAsia"/>
        </w:rPr>
        <w:t>9．《室外排水设计标准》GB50014</w:t>
      </w:r>
    </w:p>
    <w:p>
      <w:pPr>
        <w:spacing w:after="156"/>
        <w:ind w:left="567" w:firstLine="0" w:firstLineChars="0"/>
      </w:pPr>
      <w:r>
        <w:rPr>
          <w:rFonts w:hint="eastAsia"/>
        </w:rPr>
        <w:t>10．《城镇供水管网漏水探测技术规程》CIJ159</w:t>
      </w:r>
    </w:p>
    <w:p>
      <w:pPr>
        <w:spacing w:after="156"/>
        <w:ind w:left="567" w:firstLine="0" w:firstLineChars="0"/>
      </w:pPr>
      <w:r>
        <w:rPr>
          <w:rFonts w:hint="eastAsia"/>
        </w:rPr>
        <w:t>11．《城镇供水管网运行、维护及安全技术规程》CIJ207</w:t>
      </w:r>
    </w:p>
    <w:p>
      <w:pPr>
        <w:spacing w:after="156"/>
        <w:ind w:left="567" w:firstLine="0" w:firstLineChars="0"/>
        <w:rPr>
          <w:rFonts w:hint="eastAsia"/>
        </w:rPr>
      </w:pPr>
      <w:r>
        <w:rPr>
          <w:rFonts w:hint="eastAsia"/>
        </w:rPr>
        <w:t>12．《城镇供水水质在线监测技术标准》CJJ/T271</w:t>
      </w:r>
    </w:p>
    <w:p>
      <w:pPr>
        <w:spacing w:after="156"/>
        <w:ind w:left="567" w:firstLine="0" w:firstLineChars="0"/>
      </w:pPr>
      <w:r>
        <w:rPr>
          <w:rFonts w:hint="eastAsia"/>
        </w:rPr>
        <w:t>1</w:t>
      </w:r>
      <w:r>
        <w:rPr>
          <w:rFonts w:hint="eastAsia"/>
          <w:lang w:val="en-US" w:eastAsia="zh-CN"/>
        </w:rPr>
        <w:t>3</w:t>
      </w:r>
      <w:r>
        <w:rPr>
          <w:rFonts w:hint="eastAsia"/>
        </w:rPr>
        <w:t>．《污染物在线监控（监测）系统数据传输标准》IJ212</w:t>
      </w:r>
    </w:p>
    <w:p>
      <w:pPr>
        <w:spacing w:after="156"/>
        <w:ind w:left="567" w:firstLine="0" w:firstLineChars="0"/>
      </w:pPr>
      <w:r>
        <w:rPr>
          <w:rFonts w:hint="eastAsia"/>
        </w:rPr>
        <w:t>1</w:t>
      </w:r>
      <w:r>
        <w:rPr>
          <w:rFonts w:hint="eastAsia"/>
          <w:lang w:val="en-US" w:eastAsia="zh-CN"/>
        </w:rPr>
        <w:t>4</w:t>
      </w:r>
      <w:r>
        <w:rPr>
          <w:rFonts w:hint="eastAsia"/>
        </w:rPr>
        <w:t>．《建筑与桥梁结构监测技术规范》GB50982</w:t>
      </w:r>
    </w:p>
    <w:p>
      <w:pPr>
        <w:spacing w:after="156"/>
        <w:ind w:left="567" w:firstLine="0" w:firstLineChars="0"/>
      </w:pPr>
      <w:r>
        <w:rPr>
          <w:rFonts w:hint="eastAsia"/>
        </w:rPr>
        <w:t>1</w:t>
      </w:r>
      <w:r>
        <w:rPr>
          <w:rFonts w:hint="eastAsia"/>
          <w:lang w:val="en-US" w:eastAsia="zh-CN"/>
        </w:rPr>
        <w:t>5</w:t>
      </w:r>
      <w:r>
        <w:rPr>
          <w:rFonts w:hint="eastAsia"/>
        </w:rPr>
        <w:t>．《建筑结构检测技术标准》GB/T50344</w:t>
      </w:r>
    </w:p>
    <w:p>
      <w:pPr>
        <w:spacing w:after="156"/>
        <w:ind w:left="567" w:firstLine="0" w:firstLineChars="0"/>
      </w:pPr>
      <w:r>
        <w:rPr>
          <w:rFonts w:hint="eastAsia"/>
        </w:rPr>
        <w:t>1</w:t>
      </w:r>
      <w:r>
        <w:rPr>
          <w:rFonts w:hint="eastAsia"/>
          <w:lang w:val="en-US" w:eastAsia="zh-CN"/>
        </w:rPr>
        <w:t>6</w:t>
      </w:r>
      <w:r>
        <w:rPr>
          <w:rFonts w:hint="eastAsia"/>
        </w:rPr>
        <w:t>．《桥梁结构健康监测系统设计规范》DB32/T3562</w:t>
      </w:r>
    </w:p>
    <w:p>
      <w:pPr>
        <w:spacing w:after="156"/>
        <w:ind w:left="567" w:firstLine="0" w:firstLineChars="0"/>
      </w:pPr>
      <w:r>
        <w:rPr>
          <w:rFonts w:hint="eastAsia"/>
        </w:rPr>
        <w:t>1</w:t>
      </w:r>
      <w:r>
        <w:rPr>
          <w:rFonts w:hint="eastAsia"/>
          <w:lang w:val="en-US" w:eastAsia="zh-CN"/>
        </w:rPr>
        <w:t>7</w:t>
      </w:r>
      <w:r>
        <w:rPr>
          <w:rFonts w:hint="eastAsia"/>
        </w:rPr>
        <w:t>．《公路桥梁技术状况评定标准》JTG/TH21</w:t>
      </w:r>
    </w:p>
    <w:p>
      <w:pPr>
        <w:spacing w:after="156"/>
        <w:ind w:left="567" w:firstLine="0" w:firstLineChars="0"/>
      </w:pPr>
      <w:r>
        <w:rPr>
          <w:rFonts w:hint="eastAsia"/>
        </w:rPr>
        <w:t>1</w:t>
      </w:r>
      <w:r>
        <w:rPr>
          <w:rFonts w:hint="eastAsia"/>
          <w:lang w:val="en-US" w:eastAsia="zh-CN"/>
        </w:rPr>
        <w:t>8</w:t>
      </w:r>
      <w:r>
        <w:rPr>
          <w:rFonts w:hint="eastAsia"/>
        </w:rPr>
        <w:t>．《结构健康监测系统设计标准》CECS333</w:t>
      </w:r>
    </w:p>
    <w:p>
      <w:pPr>
        <w:spacing w:after="156"/>
        <w:ind w:left="567" w:firstLine="0" w:firstLineChars="0"/>
      </w:pPr>
      <w:r>
        <w:rPr>
          <w:rFonts w:hint="eastAsia"/>
        </w:rPr>
        <w:t>1</w:t>
      </w:r>
      <w:r>
        <w:rPr>
          <w:rFonts w:hint="eastAsia"/>
          <w:lang w:val="en-US" w:eastAsia="zh-CN"/>
        </w:rPr>
        <w:t>9</w:t>
      </w:r>
      <w:r>
        <w:rPr>
          <w:rFonts w:hint="eastAsia"/>
        </w:rPr>
        <w:t>．《公路桥梁结构安全监测系统技术规程》JTT1037</w:t>
      </w:r>
    </w:p>
    <w:p>
      <w:pPr>
        <w:spacing w:after="156"/>
        <w:ind w:left="567" w:firstLine="0" w:firstLineChars="0"/>
      </w:pPr>
      <w:r>
        <w:rPr>
          <w:rFonts w:hint="eastAsia"/>
          <w:lang w:val="en-US" w:eastAsia="zh-CN"/>
        </w:rPr>
        <w:t>20</w:t>
      </w:r>
      <w:r>
        <w:rPr>
          <w:rFonts w:hint="eastAsia"/>
        </w:rPr>
        <w:t>．《城市桥梁养护技术标准》CJJ99</w:t>
      </w:r>
    </w:p>
    <w:p>
      <w:pPr>
        <w:spacing w:after="156"/>
        <w:ind w:left="567" w:firstLine="0" w:firstLineChars="0"/>
      </w:pPr>
      <w:r>
        <w:rPr>
          <w:rFonts w:hint="eastAsia"/>
        </w:rPr>
        <w:t>2</w:t>
      </w:r>
      <w:r>
        <w:rPr>
          <w:rFonts w:hint="eastAsia"/>
          <w:lang w:val="en-US" w:eastAsia="zh-CN"/>
        </w:rPr>
        <w:t>1</w:t>
      </w:r>
      <w:r>
        <w:rPr>
          <w:rFonts w:hint="eastAsia"/>
        </w:rPr>
        <w:t>．《大跨度桥梁结构健康监测系统预警值标准》T/CECS529</w:t>
      </w:r>
    </w:p>
    <w:p>
      <w:pPr>
        <w:spacing w:after="156"/>
        <w:ind w:left="567" w:firstLine="0" w:firstLineChars="0"/>
      </w:pPr>
      <w:r>
        <w:rPr>
          <w:rFonts w:hint="eastAsia"/>
        </w:rPr>
        <w:t>2</w:t>
      </w:r>
      <w:r>
        <w:rPr>
          <w:rFonts w:hint="eastAsia"/>
          <w:lang w:val="en-US" w:eastAsia="zh-CN"/>
        </w:rPr>
        <w:t>2</w:t>
      </w:r>
      <w:r>
        <w:rPr>
          <w:rFonts w:hint="eastAsia"/>
        </w:rPr>
        <w:t>．《城市综合管廊工程技术规范》GB50838</w:t>
      </w:r>
    </w:p>
    <w:p>
      <w:pPr>
        <w:spacing w:after="156"/>
        <w:ind w:left="567" w:firstLine="0" w:firstLineChars="0"/>
      </w:pPr>
      <w:r>
        <w:rPr>
          <w:rFonts w:hint="eastAsia"/>
        </w:rPr>
        <w:t>2</w:t>
      </w:r>
      <w:r>
        <w:rPr>
          <w:rFonts w:hint="eastAsia"/>
          <w:lang w:val="en-US" w:eastAsia="zh-CN"/>
        </w:rPr>
        <w:t>3</w:t>
      </w:r>
      <w:r>
        <w:rPr>
          <w:rFonts w:hint="eastAsia"/>
        </w:rPr>
        <w:t>．《城镇综合管廊监控与报警系统工程技术标准》GB/T</w:t>
      </w:r>
      <w:r>
        <w:t>51274</w:t>
      </w:r>
    </w:p>
    <w:p>
      <w:pPr>
        <w:spacing w:after="156"/>
        <w:ind w:left="567" w:firstLine="0" w:firstLineChars="0"/>
      </w:pPr>
      <w:r>
        <w:rPr>
          <w:rFonts w:hint="eastAsia"/>
        </w:rPr>
        <w:t>2</w:t>
      </w:r>
      <w:r>
        <w:rPr>
          <w:rFonts w:hint="eastAsia"/>
          <w:lang w:val="en-US" w:eastAsia="zh-CN"/>
        </w:rPr>
        <w:t>4</w:t>
      </w:r>
      <w:r>
        <w:rPr>
          <w:rFonts w:hint="eastAsia"/>
        </w:rPr>
        <w:t>．《城市地下综合管廊运行维护及安全技术标准》GB51354</w:t>
      </w:r>
    </w:p>
    <w:p>
      <w:pPr>
        <w:spacing w:after="156"/>
        <w:ind w:left="567" w:firstLine="0" w:firstLineChars="0"/>
      </w:pPr>
      <w:r>
        <w:rPr>
          <w:rFonts w:hint="eastAsia"/>
        </w:rPr>
        <w:t>2</w:t>
      </w:r>
      <w:r>
        <w:rPr>
          <w:rFonts w:hint="eastAsia"/>
          <w:lang w:val="en-US" w:eastAsia="zh-CN"/>
        </w:rPr>
        <w:t>5</w:t>
      </w:r>
      <w:r>
        <w:rPr>
          <w:rFonts w:hint="eastAsia"/>
        </w:rPr>
        <w:t>．《城市综合管廊运营服务规范》GB/T38550</w:t>
      </w:r>
    </w:p>
    <w:p>
      <w:pPr>
        <w:spacing w:after="156"/>
        <w:ind w:left="567" w:firstLine="0" w:firstLineChars="0"/>
      </w:pPr>
      <w:r>
        <w:rPr>
          <w:rFonts w:hint="eastAsia"/>
        </w:rPr>
        <w:t>2</w:t>
      </w:r>
      <w:r>
        <w:rPr>
          <w:rFonts w:hint="eastAsia"/>
          <w:lang w:val="en-US" w:eastAsia="zh-CN"/>
        </w:rPr>
        <w:t>6</w:t>
      </w:r>
      <w:r>
        <w:rPr>
          <w:rFonts w:hint="eastAsia"/>
        </w:rPr>
        <w:t>．《综合管廊信息模型应用技术规程》DB34/T5074</w:t>
      </w:r>
    </w:p>
    <w:p>
      <w:pPr>
        <w:spacing w:after="156"/>
        <w:ind w:left="567" w:firstLine="0" w:firstLineChars="0"/>
      </w:pPr>
      <w:r>
        <w:rPr>
          <w:rFonts w:hint="eastAsia"/>
        </w:rPr>
        <w:t>2</w:t>
      </w:r>
      <w:r>
        <w:rPr>
          <w:rFonts w:hint="eastAsia"/>
          <w:lang w:val="en-US" w:eastAsia="zh-CN"/>
        </w:rPr>
        <w:t>7</w:t>
      </w:r>
      <w:r>
        <w:rPr>
          <w:rFonts w:hint="eastAsia"/>
        </w:rPr>
        <w:t>．《综合管廊运维数据规程》DB34T3750</w:t>
      </w:r>
    </w:p>
    <w:p>
      <w:pPr>
        <w:spacing w:after="156"/>
        <w:ind w:left="567" w:firstLine="0" w:firstLineChars="0"/>
      </w:pPr>
      <w:r>
        <w:rPr>
          <w:rFonts w:hint="eastAsia"/>
        </w:rPr>
        <w:t>2</w:t>
      </w:r>
      <w:r>
        <w:rPr>
          <w:rFonts w:hint="eastAsia"/>
          <w:lang w:val="en-US" w:eastAsia="zh-CN"/>
        </w:rPr>
        <w:t>8</w:t>
      </w:r>
      <w:r>
        <w:rPr>
          <w:rFonts w:hint="eastAsia"/>
        </w:rPr>
        <w:t>．《计算机信息系统安全保护等级划分准则》GB</w:t>
      </w:r>
      <w:r>
        <w:t>17859</w:t>
      </w:r>
    </w:p>
    <w:p>
      <w:pPr>
        <w:spacing w:after="156"/>
        <w:ind w:left="567" w:firstLine="0" w:firstLineChars="0"/>
      </w:pPr>
      <w:r>
        <w:rPr>
          <w:rFonts w:hint="eastAsia"/>
        </w:rPr>
        <w:t>2</w:t>
      </w:r>
      <w:r>
        <w:rPr>
          <w:rFonts w:hint="eastAsia"/>
          <w:lang w:val="en-US" w:eastAsia="zh-CN"/>
        </w:rPr>
        <w:t>9</w:t>
      </w:r>
      <w:r>
        <w:rPr>
          <w:rFonts w:hint="eastAsia"/>
        </w:rPr>
        <w:t>．《软件系统验收规范》GB/T28035</w:t>
      </w:r>
    </w:p>
    <w:p>
      <w:pPr>
        <w:spacing w:after="156"/>
        <w:ind w:left="567" w:firstLine="0" w:firstLineChars="0"/>
      </w:pPr>
      <w:r>
        <w:rPr>
          <w:rFonts w:hint="eastAsia"/>
          <w:lang w:val="en-US" w:eastAsia="zh-CN"/>
        </w:rPr>
        <w:t>30</w:t>
      </w:r>
      <w:r>
        <w:rPr>
          <w:rFonts w:hint="eastAsia"/>
        </w:rPr>
        <w:t>．《信息安全技术物联网数据传输安全技术要求》GB/T37025</w:t>
      </w:r>
    </w:p>
    <w:p>
      <w:pPr>
        <w:spacing w:after="156"/>
        <w:ind w:left="567" w:firstLine="0" w:firstLineChars="0"/>
      </w:pPr>
      <w:r>
        <w:rPr>
          <w:rFonts w:hint="eastAsia"/>
        </w:rPr>
        <w:t>3</w:t>
      </w:r>
      <w:r>
        <w:rPr>
          <w:rFonts w:hint="eastAsia"/>
          <w:lang w:val="en-US" w:eastAsia="zh-CN"/>
        </w:rPr>
        <w:t>1</w:t>
      </w:r>
      <w:r>
        <w:rPr>
          <w:rFonts w:hint="eastAsia"/>
        </w:rPr>
        <w:t>．《信息安全技术网络安全等级保护实施指南》GB/T25058</w:t>
      </w:r>
    </w:p>
    <w:p>
      <w:pPr>
        <w:spacing w:after="156"/>
        <w:ind w:left="567" w:firstLine="0" w:firstLineChars="0"/>
      </w:pPr>
      <w:r>
        <w:rPr>
          <w:rFonts w:hint="eastAsia"/>
        </w:rPr>
        <w:t>3</w:t>
      </w:r>
      <w:r>
        <w:rPr>
          <w:rFonts w:hint="eastAsia"/>
          <w:lang w:val="en-US" w:eastAsia="zh-CN"/>
        </w:rPr>
        <w:t>2</w:t>
      </w:r>
      <w:r>
        <w:rPr>
          <w:rFonts w:hint="eastAsia"/>
        </w:rPr>
        <w:t>．《信息安全技术网络安全等级保护定级指南》GB/T22240</w:t>
      </w:r>
    </w:p>
    <w:p>
      <w:pPr>
        <w:spacing w:after="156"/>
        <w:ind w:left="567" w:firstLine="0" w:firstLineChars="0"/>
      </w:pPr>
      <w:r>
        <w:rPr>
          <w:rFonts w:hint="eastAsia"/>
        </w:rPr>
        <w:t>3</w:t>
      </w:r>
      <w:r>
        <w:rPr>
          <w:rFonts w:hint="eastAsia"/>
          <w:lang w:val="en-US" w:eastAsia="zh-CN"/>
        </w:rPr>
        <w:t>3</w:t>
      </w:r>
      <w:r>
        <w:rPr>
          <w:rFonts w:hint="eastAsia"/>
        </w:rPr>
        <w:t>．《信息化项目验收规范》DB34/T3059</w:t>
      </w:r>
    </w:p>
    <w:p>
      <w:pPr>
        <w:spacing w:after="156"/>
        <w:ind w:left="567" w:firstLine="0" w:firstLineChars="0"/>
      </w:pPr>
      <w:r>
        <w:rPr>
          <w:rFonts w:hint="eastAsia"/>
        </w:rPr>
        <w:t>3</w:t>
      </w:r>
      <w:r>
        <w:rPr>
          <w:rFonts w:hint="eastAsia"/>
          <w:lang w:val="en-US" w:eastAsia="zh-CN"/>
        </w:rPr>
        <w:t>4</w:t>
      </w:r>
      <w:r>
        <w:rPr>
          <w:rFonts w:hint="eastAsia"/>
        </w:rPr>
        <w:t>．《信息系统密码应用基础要求》GM/T0054</w:t>
      </w:r>
    </w:p>
    <w:p>
      <w:pPr>
        <w:pStyle w:val="2"/>
        <w:spacing w:after="156"/>
      </w:pPr>
      <w:bookmarkStart w:id="11" w:name="_Toc182299727"/>
      <w:bookmarkStart w:id="12" w:name="_Toc184031816"/>
      <w:r>
        <w:rPr>
          <w:rFonts w:hint="eastAsia"/>
        </w:rPr>
        <w:t>建设要求</w:t>
      </w:r>
      <w:bookmarkEnd w:id="11"/>
      <w:bookmarkEnd w:id="12"/>
    </w:p>
    <w:p>
      <w:pPr>
        <w:pStyle w:val="3"/>
        <w:spacing w:after="156"/>
      </w:pPr>
      <w:bookmarkStart w:id="13" w:name="_Toc182299728"/>
      <w:bookmarkStart w:id="14" w:name="_Toc184031817"/>
      <w:r>
        <w:rPr>
          <w:rFonts w:hint="eastAsia"/>
        </w:rPr>
        <w:t>建设目标</w:t>
      </w:r>
      <w:bookmarkEnd w:id="13"/>
      <w:bookmarkEnd w:id="14"/>
    </w:p>
    <w:p>
      <w:pPr>
        <w:spacing w:after="156"/>
      </w:pPr>
      <w:r>
        <w:t>长沙、株洲、湘潭、岳阳、衡阳、益阳、常德7个城市作为试点城市选择一个区，其他地市选择1-2个条件成熟街区，率先推进各类工作任务，为全省形成可复制可推广的</w:t>
      </w:r>
      <w:r>
        <w:rPr>
          <w:rFonts w:hint="eastAsia"/>
        </w:rPr>
        <w:t>建设</w:t>
      </w:r>
      <w:r>
        <w:t>经验。2025年落实“综合改一次”的地下管线和城市道路350公里，完成各类管线前端智能化改造2000公里。到2026年底，全省计划落实“综合改一次”的地下管线和城市道路不少于1000公里，燃气、排水、供水等管线前端智能化改造完成6200公里，基本实现城市基础设施生命线安全运行监测一网统管。</w:t>
      </w:r>
    </w:p>
    <w:p>
      <w:pPr>
        <w:pStyle w:val="3"/>
        <w:spacing w:after="156"/>
      </w:pPr>
      <w:bookmarkStart w:id="15" w:name="_Toc182299729"/>
      <w:bookmarkStart w:id="16" w:name="_Toc184031818"/>
      <w:r>
        <w:rPr>
          <w:rFonts w:hint="eastAsia"/>
        </w:rPr>
        <w:t>建设原则</w:t>
      </w:r>
      <w:bookmarkEnd w:id="15"/>
      <w:bookmarkEnd w:id="16"/>
    </w:p>
    <w:p>
      <w:pPr>
        <w:spacing w:after="156"/>
        <w:ind w:firstLine="602"/>
      </w:pPr>
      <w:r>
        <w:rPr>
          <w:rFonts w:hint="eastAsia"/>
          <w:b/>
          <w:bCs/>
        </w:rPr>
        <w:t>1、坚持有效衔接，夯实基础。</w:t>
      </w:r>
      <w:r>
        <w:rPr>
          <w:rFonts w:hint="eastAsia"/>
        </w:rPr>
        <w:t>在自然灾害综合风险普查和城市市政基础设施普查的基础上，全面掌握城市地下管线建成年代、位置关系、运行现状等信息，建立覆盖城市生命线的市政基础设施数据库，为城市基础设施生命线安全工程建设打下坚实基础。</w:t>
      </w:r>
    </w:p>
    <w:p>
      <w:pPr>
        <w:spacing w:after="156"/>
        <w:ind w:firstLine="602"/>
      </w:pPr>
      <w:r>
        <w:rPr>
          <w:rFonts w:hint="eastAsia"/>
          <w:b/>
          <w:bCs/>
        </w:rPr>
        <w:t>2、坚持系统思维，统筹建设。</w:t>
      </w:r>
      <w:r>
        <w:rPr>
          <w:rFonts w:hint="eastAsia"/>
        </w:rPr>
        <w:t>要将城市基础设施生命线安全工程与城市道路视为一个有机整体，坚持地下管线工程与市政道路建设并重，科学合理规划编制城市地下管线和市政道路建设规划，实现“六个同步”（同步规划、策划、设计、施工、验收、管理），提高城市地下管线工程与城市道路建设的整体性、系统性。</w:t>
      </w:r>
    </w:p>
    <w:p>
      <w:pPr>
        <w:spacing w:after="156"/>
        <w:ind w:firstLine="602"/>
      </w:pPr>
      <w:r>
        <w:rPr>
          <w:rFonts w:hint="eastAsia"/>
          <w:b/>
          <w:bCs/>
        </w:rPr>
        <w:t>3、坚持政府主导、多方参与。</w:t>
      </w:r>
      <w:r>
        <w:rPr>
          <w:rFonts w:hint="eastAsia"/>
        </w:rPr>
        <w:t>突出公益属性，压实各地政府属地责任和部门监管责任，加大政府投入，建立完善监管保障制度机制。压实企业安全生产主体责任，加大安全生产投入，主动与政府监管平台互联互通、接受政府监管。强化市场运作，鼓励多方参与，引入社会资本，建立多元化投融资和利益分担机制，为工程建设提供资金保障。</w:t>
      </w:r>
    </w:p>
    <w:p>
      <w:pPr>
        <w:spacing w:after="156"/>
        <w:ind w:firstLine="602"/>
      </w:pPr>
      <w:r>
        <w:rPr>
          <w:rFonts w:hint="eastAsia"/>
          <w:b/>
          <w:bCs/>
        </w:rPr>
        <w:t>4、坚持标准引导、机制保障。</w:t>
      </w:r>
      <w:r>
        <w:rPr>
          <w:rFonts w:hint="eastAsia"/>
        </w:rPr>
        <w:t>建立运行评估标准、处置响应工作机制、数据动态更新机制、多方协同机制、联席会议制度，推进城市基础设施生命线安全工程的标准化、规范化运行管理和全方位的协同管理。</w:t>
      </w:r>
    </w:p>
    <w:p>
      <w:pPr>
        <w:pStyle w:val="3"/>
        <w:spacing w:after="156"/>
      </w:pPr>
      <w:bookmarkStart w:id="17" w:name="_Toc184031819"/>
      <w:bookmarkStart w:id="18" w:name="_Toc182299730"/>
      <w:r>
        <w:rPr>
          <w:rFonts w:hint="eastAsia"/>
        </w:rPr>
        <w:t>总体架构</w:t>
      </w:r>
      <w:bookmarkEnd w:id="17"/>
      <w:bookmarkEnd w:id="18"/>
    </w:p>
    <w:p>
      <w:pPr>
        <w:spacing w:after="156"/>
      </w:pPr>
      <w:r>
        <w:rPr>
          <w:rFonts w:hint="eastAsia"/>
        </w:rPr>
        <w:t>以全省“一盘棋”为理念，统筹规划湖南省城市基础设施生命线安全工程“省-市”两级架构体系，实现两级平台的数据互通和业务协同，总体架构图如下：</w:t>
      </w:r>
    </w:p>
    <w:p>
      <w:pPr>
        <w:pStyle w:val="41"/>
        <w:spacing w:after="156"/>
      </w:pPr>
      <w:r>
        <w:drawing>
          <wp:inline distT="0" distB="0" distL="0" distR="0">
            <wp:extent cx="5274310" cy="3401695"/>
            <wp:effectExtent l="0" t="0" r="2540" b="8255"/>
            <wp:docPr id="1655478230"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55478230" name="图片 1"/>
                    <pic:cNvPicPr>
                      <a:picLocks noChangeAspect="true"/>
                    </pic:cNvPicPr>
                  </pic:nvPicPr>
                  <pic:blipFill>
                    <a:blip r:embed="rId11"/>
                    <a:stretch>
                      <a:fillRect/>
                    </a:stretch>
                  </pic:blipFill>
                  <pic:spPr>
                    <a:xfrm>
                      <a:off x="0" y="0"/>
                      <a:ext cx="5274310" cy="3401695"/>
                    </a:xfrm>
                    <a:prstGeom prst="rect">
                      <a:avLst/>
                    </a:prstGeom>
                  </pic:spPr>
                </pic:pic>
              </a:graphicData>
            </a:graphic>
          </wp:inline>
        </w:drawing>
      </w:r>
    </w:p>
    <w:p>
      <w:pPr>
        <w:pStyle w:val="11"/>
        <w:spacing w:after="156"/>
      </w:pPr>
      <w:r>
        <w:rPr>
          <w:rFonts w:hint="eastAsia"/>
        </w:rPr>
        <w:t>图</w:t>
      </w:r>
      <w:r>
        <w:fldChar w:fldCharType="begin"/>
      </w:r>
      <w:r>
        <w:instrText xml:space="preserve"> </w:instrText>
      </w:r>
      <w:r>
        <w:rPr>
          <w:rFonts w:hint="eastAsia"/>
        </w:rPr>
        <w:instrText xml:space="preserve">STYLEREF 2 \s</w:instrText>
      </w:r>
      <w:r>
        <w:instrText xml:space="preserve"> </w:instrText>
      </w:r>
      <w:r>
        <w:fldChar w:fldCharType="separate"/>
      </w:r>
      <w:r>
        <w:t>2.3</w:t>
      </w:r>
      <w:r>
        <w:fldChar w:fldCharType="end"/>
      </w:r>
      <w:r>
        <w:noBreakHyphen/>
      </w:r>
      <w:r>
        <w:fldChar w:fldCharType="begin"/>
      </w:r>
      <w:r>
        <w:instrText xml:space="preserve"> </w:instrText>
      </w:r>
      <w:r>
        <w:rPr>
          <w:rFonts w:hint="eastAsia"/>
        </w:rPr>
        <w:instrText xml:space="preserve">SEQ 图 \* ARABIC \s 2</w:instrText>
      </w:r>
      <w:r>
        <w:instrText xml:space="preserve"> </w:instrText>
      </w:r>
      <w:r>
        <w:fldChar w:fldCharType="separate"/>
      </w:r>
      <w:r>
        <w:t>1</w:t>
      </w:r>
      <w:r>
        <w:fldChar w:fldCharType="end"/>
      </w:r>
      <w:r>
        <w:rPr>
          <w:rFonts w:hint="eastAsia"/>
        </w:rPr>
        <w:t>城市基础设施生命线安全工程总体架构图</w:t>
      </w:r>
    </w:p>
    <w:p>
      <w:pPr>
        <w:spacing w:after="156"/>
      </w:pPr>
      <w:r>
        <w:rPr>
          <w:rFonts w:hint="eastAsia"/>
        </w:rPr>
        <w:t>省级城市生命线监管平台整体定位“观全域、强监督、重指导”，建设内容包括综合展示分析、行业专项分析和监管应用三部分。综合展示分析包括基础数据、风险管控、监测预警、考核评价、决策支持，展示分析全省城市生命线总体运行态势，提供决策辅助；行业专项分析主要包括燃气专项、排水专项、供水专项、桥梁专项、综合管廊专项等内容，从行业安全运行维度实现监督管理和决策辅助；监管应用包括“综合改一次”监管系统和工程进度监管系统，主要实现对各市州“综合改一次”落实进度和城市基础设施生命线安全工程建设进度的监督管理和考核评价。</w:t>
      </w:r>
    </w:p>
    <w:p>
      <w:pPr>
        <w:spacing w:after="156"/>
      </w:pPr>
      <w:r>
        <w:rPr>
          <w:rFonts w:hint="eastAsia"/>
        </w:rPr>
        <w:t>市级城市生命线安全运行监测平台整体定位“强监测、会预警、快处置”。以“统筹规划、集约建设、统一标准、统一管理”为原则，</w:t>
      </w:r>
      <w:r>
        <w:rPr>
          <w:rFonts w:hint="eastAsia"/>
          <w:lang w:val="en-US" w:eastAsia="zh-CN"/>
        </w:rPr>
        <w:t>省厅结合数字城建档案馆项目建设，统筹安排城市运管服平台中涉及城市生命线安全监测模块的部署使用工作</w:t>
      </w:r>
      <w:r>
        <w:rPr>
          <w:rFonts w:hint="eastAsia"/>
        </w:rPr>
        <w:t>，平台内容包含综合安全应用和行业专项应用，实现“综合改一次”和工程进度填报管理以及监测感知设备管理、动态监测与报警管理和事件预警联动处置管理，各市州可在基础版本基础上结合本地业务实际进行功能拓展建设。如市州自建平台，需符合全省统一的技术标准和数据标准，完成与省级平台的无缝对接，实现数据互通和业务协同。</w:t>
      </w:r>
    </w:p>
    <w:p>
      <w:pPr>
        <w:spacing w:after="156"/>
      </w:pPr>
      <w:r>
        <w:rPr>
          <w:rFonts w:hint="eastAsia"/>
        </w:rPr>
        <w:t>市级城市生命线安全运行监测平台基于标准规范与安全保障体系、运行管理与协同联动机制，由基础设施层、数据能力支持层、应用层组成。</w:t>
      </w:r>
    </w:p>
    <w:p>
      <w:pPr>
        <w:spacing w:after="156"/>
        <w:ind w:firstLine="602"/>
        <w:rPr>
          <w:b/>
          <w:bCs/>
        </w:rPr>
      </w:pPr>
      <w:r>
        <w:rPr>
          <w:b/>
          <w:bCs/>
        </w:rPr>
        <w:t>1</w:t>
      </w:r>
      <w:r>
        <w:rPr>
          <w:rFonts w:hint="eastAsia"/>
          <w:b/>
          <w:bCs/>
        </w:rPr>
        <w:t>、基础设施层</w:t>
      </w:r>
    </w:p>
    <w:p>
      <w:pPr>
        <w:spacing w:after="156"/>
      </w:pPr>
      <w:r>
        <w:rPr>
          <w:rFonts w:hint="eastAsia"/>
        </w:rPr>
        <w:t>基础设施层是平台运行所必要的计算、存储、网络、安全等资源，同时还需根据实际需求建设各类物联网感知终端设备。</w:t>
      </w:r>
    </w:p>
    <w:p>
      <w:pPr>
        <w:spacing w:after="156"/>
        <w:ind w:firstLine="602"/>
        <w:rPr>
          <w:b/>
          <w:bCs/>
        </w:rPr>
      </w:pPr>
      <w:r>
        <w:rPr>
          <w:b/>
          <w:bCs/>
        </w:rPr>
        <w:t>2</w:t>
      </w:r>
      <w:r>
        <w:rPr>
          <w:rFonts w:hint="eastAsia"/>
          <w:b/>
          <w:bCs/>
        </w:rPr>
        <w:t>、数据能力支撑层</w:t>
      </w:r>
    </w:p>
    <w:p>
      <w:pPr>
        <w:spacing w:after="156"/>
      </w:pPr>
      <w:r>
        <w:rPr>
          <w:rFonts w:hint="eastAsia"/>
        </w:rPr>
        <w:t>数据能力支撑层是平台高效运转所必须的支撑性能力系统的集合，包括城市基础设施生命线安全工程数据库以及大数据平台、物联网平台、公共安全模型、地理信息平台等能力，各市州按实际需求进行建设。</w:t>
      </w:r>
    </w:p>
    <w:p>
      <w:pPr>
        <w:spacing w:after="156"/>
        <w:ind w:firstLine="602"/>
        <w:rPr>
          <w:b/>
          <w:bCs/>
        </w:rPr>
      </w:pPr>
      <w:r>
        <w:rPr>
          <w:b/>
          <w:bCs/>
        </w:rPr>
        <w:t>3</w:t>
      </w:r>
      <w:r>
        <w:rPr>
          <w:rFonts w:hint="eastAsia"/>
          <w:b/>
          <w:bCs/>
        </w:rPr>
        <w:t>、应用层</w:t>
      </w:r>
    </w:p>
    <w:p>
      <w:pPr>
        <w:spacing w:after="156"/>
      </w:pPr>
      <w:r>
        <w:rPr>
          <w:rFonts w:hint="eastAsia"/>
        </w:rPr>
        <w:t>应用层分为综合安全应用和专项应用。综合应用由预警联动处置系统、“综合改一次”管理系统、工程进度管理系统组成，专项应用为“燃气、供水、排水、桥梁、综合管廊”组成，各市州可根据实际需求进行场景应用的拓展建设。</w:t>
      </w:r>
    </w:p>
    <w:p>
      <w:pPr>
        <w:pStyle w:val="3"/>
        <w:spacing w:after="156"/>
      </w:pPr>
      <w:bookmarkStart w:id="19" w:name="_Toc182299731"/>
      <w:bookmarkStart w:id="20" w:name="_Toc184031820"/>
      <w:r>
        <w:rPr>
          <w:rFonts w:hint="eastAsia"/>
        </w:rPr>
        <w:t>建设内容</w:t>
      </w:r>
      <w:bookmarkEnd w:id="19"/>
      <w:bookmarkEnd w:id="20"/>
    </w:p>
    <w:p>
      <w:pPr>
        <w:spacing w:after="156"/>
      </w:pPr>
      <w:r>
        <w:rPr>
          <w:rFonts w:hint="eastAsia"/>
        </w:rPr>
        <w:t>湖南省城市基础设施生命线安全工程依据《湖南省城市基础设施生命线安全工程提升行动实施方案》统筹规划设计，建设内容包括风险评估、构建建设改造项目库、编制城市地下管线综合规划、落实“综合改一次”建设、搭建监测感知网、构建安全运行监测平台、创新管理机制、建立健全应急处置机制。</w:t>
      </w:r>
    </w:p>
    <w:p>
      <w:pPr>
        <w:pStyle w:val="2"/>
        <w:spacing w:after="156"/>
      </w:pPr>
      <w:bookmarkStart w:id="21" w:name="_Toc182299732"/>
      <w:bookmarkStart w:id="22" w:name="_Toc184031821"/>
      <w:r>
        <w:rPr>
          <w:rFonts w:hint="eastAsia"/>
        </w:rPr>
        <w:t>风险评估</w:t>
      </w:r>
      <w:bookmarkEnd w:id="21"/>
      <w:bookmarkEnd w:id="22"/>
    </w:p>
    <w:p>
      <w:pPr>
        <w:spacing w:after="156"/>
        <w:ind w:firstLine="0" w:firstLineChars="0"/>
      </w:pPr>
      <w:bookmarkStart w:id="23" w:name="_Hlk163750158"/>
    </w:p>
    <w:p>
      <w:pPr>
        <w:spacing w:after="156"/>
      </w:pPr>
      <w:r>
        <w:rPr>
          <w:rFonts w:hint="eastAsia"/>
        </w:rPr>
        <w:t>各市州在充分运用城市市政基础设施普查和自然灾害综合风险普查工作成果基础上，开展风险评估工作，风险评估输出的成果物应包括风险清单、风险四色图和风险评估报告。</w:t>
      </w:r>
    </w:p>
    <w:p>
      <w:pPr>
        <w:pStyle w:val="3"/>
        <w:spacing w:after="156"/>
      </w:pPr>
      <w:bookmarkStart w:id="24" w:name="_Toc184031822"/>
      <w:bookmarkStart w:id="25" w:name="_Toc182299733"/>
      <w:r>
        <w:rPr>
          <w:rFonts w:hint="eastAsia"/>
        </w:rPr>
        <w:t>加快推进市政基础设施普查工作</w:t>
      </w:r>
      <w:bookmarkEnd w:id="24"/>
    </w:p>
    <w:p>
      <w:pPr>
        <w:spacing w:after="156"/>
      </w:pPr>
      <w:r>
        <w:rPr>
          <w:rFonts w:hint="eastAsia"/>
        </w:rPr>
        <w:t>各市州需依据《住房和城乡建设部关于加强城市地下市政基础设施建设的指导意见》（建城〔2020〕111号）、《湖南省住房和城乡建设厅关于加强县以上城市地下市政基础设施建设和运行管理的实施意见》（湘建城〔2021〕165号）相关要求，加快推进市政基础设施普查工作。在2025年底前，各市州需完成市政基础设施普查全域覆盖，摸清全量底数，基本消除隐患风险点；综合管理信息平台覆盖全市所有区县，城市地下市政基础设施建设协调机制完善健全、效率明显提高，安全隐患及事故明显减少，城市安全韧性显著提升。</w:t>
      </w:r>
    </w:p>
    <w:p>
      <w:pPr>
        <w:pStyle w:val="3"/>
        <w:spacing w:after="156"/>
      </w:pPr>
      <w:bookmarkStart w:id="26" w:name="_Toc184031823"/>
      <w:r>
        <w:rPr>
          <w:rFonts w:hint="eastAsia"/>
        </w:rPr>
        <w:t>风险评估准备</w:t>
      </w:r>
      <w:bookmarkEnd w:id="25"/>
      <w:bookmarkEnd w:id="26"/>
    </w:p>
    <w:p>
      <w:pPr>
        <w:spacing w:after="156"/>
      </w:pPr>
      <w:r>
        <w:rPr>
          <w:rFonts w:hint="eastAsia"/>
        </w:rPr>
        <w:t>风险评估的准备阶段主要包括城市基础设施生命线安全工程基础数据收集和整理。</w:t>
      </w:r>
    </w:p>
    <w:p>
      <w:pPr>
        <w:spacing w:after="156"/>
      </w:pPr>
      <w:r>
        <w:rPr>
          <w:rFonts w:hint="eastAsia"/>
        </w:rPr>
        <w:t>燃气风险评估基本数据信息主要包括：燃气管道、门站、储配站、调压站等设施的设计/竣工、运行和管理记录、突发事件应急处置、周边情况，以及燃气管道检验检测等资料。</w:t>
      </w:r>
    </w:p>
    <w:p>
      <w:pPr>
        <w:spacing w:after="156"/>
      </w:pPr>
      <w:r>
        <w:rPr>
          <w:rFonts w:hint="eastAsia"/>
        </w:rPr>
        <w:t>供水风险评估基本数据信息主要包括：供水管网、水厂、泵站、消火栓等设施的设计/竣工、运行和管理记录、突发事件应急处置、大用水户、周边情况等资料。</w:t>
      </w:r>
    </w:p>
    <w:p>
      <w:pPr>
        <w:spacing w:after="156"/>
      </w:pPr>
      <w:r>
        <w:rPr>
          <w:rFonts w:hint="eastAsia"/>
        </w:rPr>
        <w:t>排水风险评估基本数据信息主要包括：排水系统设计/竣工、运行和管理记录、突发事件应急处置、周边环境等资料。</w:t>
      </w:r>
    </w:p>
    <w:p>
      <w:pPr>
        <w:spacing w:after="156"/>
      </w:pPr>
      <w:r>
        <w:rPr>
          <w:rFonts w:hint="eastAsia"/>
        </w:rPr>
        <w:t>桥梁风险评估基本数据信息主要包括：桥梁设计/竣工、检测养护、突发事件应急处置、环境、超限超载运输情况、结构短板、周边情况等资料。</w:t>
      </w:r>
    </w:p>
    <w:p>
      <w:pPr>
        <w:spacing w:after="156"/>
      </w:pPr>
      <w:r>
        <w:rPr>
          <w:rFonts w:hint="eastAsia"/>
        </w:rPr>
        <w:t>综合管廊风险评估基本数据信息主要包括：管廊设计/竣工、日常运维、突发事件应急处置、周边情况等资料。</w:t>
      </w:r>
    </w:p>
    <w:bookmarkEnd w:id="23"/>
    <w:p>
      <w:pPr>
        <w:pStyle w:val="3"/>
        <w:spacing w:after="156"/>
      </w:pPr>
      <w:bookmarkStart w:id="27" w:name="_Toc184031824"/>
      <w:bookmarkStart w:id="28" w:name="_Toc182299734"/>
      <w:bookmarkStart w:id="29" w:name="_Hlk163820147"/>
      <w:r>
        <w:rPr>
          <w:rFonts w:hint="eastAsia"/>
        </w:rPr>
        <w:t>风险辨识和评估方法</w:t>
      </w:r>
      <w:bookmarkEnd w:id="27"/>
      <w:bookmarkEnd w:id="28"/>
    </w:p>
    <w:p>
      <w:pPr>
        <w:spacing w:after="156"/>
      </w:pPr>
      <w:r>
        <w:rPr>
          <w:rFonts w:hint="eastAsia"/>
        </w:rPr>
        <w:t>风险辨识主要通过访谈法、检查表法、情景分析法和故障树法等方法对监测区域的风险源、风险事件及其原因和潜在后果进行系统归类和全面识别。其中风险事件主要包括初始事件、次生事件、衍生事件和耦合事件等。</w:t>
      </w:r>
    </w:p>
    <w:p>
      <w:pPr>
        <w:spacing w:after="156"/>
      </w:pPr>
      <w:r>
        <w:rPr>
          <w:rFonts w:hint="eastAsia"/>
        </w:rPr>
        <w:t>城市基础设施生命线安全工程风险评估的方法主要包括：</w:t>
      </w:r>
    </w:p>
    <w:p>
      <w:pPr>
        <w:spacing w:after="156"/>
        <w:ind w:firstLine="602"/>
      </w:pPr>
      <w:r>
        <w:rPr>
          <w:rFonts w:hint="eastAsia"/>
          <w:b/>
          <w:bCs/>
        </w:rPr>
        <w:t>1、燃气安全风险评估</w:t>
      </w:r>
      <w:r>
        <w:rPr>
          <w:rFonts w:hint="eastAsia"/>
        </w:rPr>
        <w:t>：利用燃气与相邻管线耦合隐患辨识模型、独立窨井爆炸风险评估模型、连通管线爆炸风险评估模型、连通管线燃气扩散范围分析模型、地下空间爆炸影响范围预测分析模型等系列模型，给出城市燃气四级风险点/风险区，得到城市燃气泄漏燃爆风险四色图，作为燃气管线监测点位布设、泄漏预测预警、应急辅助的依据。</w:t>
      </w:r>
    </w:p>
    <w:p>
      <w:pPr>
        <w:spacing w:after="156"/>
        <w:ind w:firstLine="602"/>
      </w:pPr>
      <w:r>
        <w:rPr>
          <w:rFonts w:hint="eastAsia"/>
          <w:b/>
          <w:bCs/>
        </w:rPr>
        <w:t>2、排水安全风险评估：</w:t>
      </w:r>
      <w:r>
        <w:rPr>
          <w:rFonts w:hint="eastAsia"/>
        </w:rPr>
        <w:t>利用排水管网风险评估模型、排水管网水力学模型、暴雨内涝预警模型，给出城市排水四级风险点/风险区，得出淤积、溢流、高负荷运行等风险等级四色图，作为管网维修养护、监测点位布设、异常预警、分析研判、泵站调度的依据。</w:t>
      </w:r>
    </w:p>
    <w:p>
      <w:pPr>
        <w:spacing w:after="156"/>
        <w:ind w:firstLine="602"/>
      </w:pPr>
      <w:r>
        <w:rPr>
          <w:rFonts w:hint="eastAsia"/>
          <w:b/>
          <w:bCs/>
        </w:rPr>
        <w:t>3、综合管廊安全风险评估：</w:t>
      </w:r>
      <w:r>
        <w:rPr>
          <w:rFonts w:hint="eastAsia"/>
        </w:rPr>
        <w:t>利用供水管线爆管、燃气管线泄漏扩散、电力管线火灾等风险评估与仿真模型，得出管廊爆管淹没、泄漏爆炸、火灾等风险等级四色图，作为综合管廊监测点位布设、事故预测预警、应急预案制定的依据。</w:t>
      </w:r>
    </w:p>
    <w:p>
      <w:pPr>
        <w:spacing w:after="156"/>
        <w:ind w:firstLine="602"/>
      </w:pPr>
      <w:r>
        <w:rPr>
          <w:rFonts w:hint="eastAsia"/>
          <w:b/>
          <w:bCs/>
        </w:rPr>
        <w:t>4、供水安全风险评估：</w:t>
      </w:r>
      <w:r>
        <w:rPr>
          <w:rFonts w:hint="eastAsia"/>
        </w:rPr>
        <w:t>利用供水管网风险评估模型、爆管分析模型和水力学模型，得出供水管网水力学运行状态和高风险区域分布，给出城市供水四级风险点/风险区，作为供水管网维修与养护、监测点位布设、运行调度、异常预警和分析研判的依据。</w:t>
      </w:r>
    </w:p>
    <w:p>
      <w:pPr>
        <w:spacing w:after="156"/>
        <w:ind w:firstLine="602"/>
      </w:pPr>
      <w:r>
        <w:rPr>
          <w:rFonts w:hint="eastAsia"/>
          <w:b/>
          <w:bCs/>
        </w:rPr>
        <w:t>5、桥梁安全风险评估：</w:t>
      </w:r>
      <w:r>
        <w:rPr>
          <w:rFonts w:hint="eastAsia"/>
        </w:rPr>
        <w:t>利用桥梁结构有限元模型、风载荷振动评估模型、重载荷影响评估模型等，结合桥梁规模、桥梁结构受力特点、构件的工作特征、桥梁设计控制断面、控制点、桥梁不同类型材料的材料特性、使用特性、在役年限、桥梁技术状况（养护）等级、养护维修、地质和气象条件、交通流、荷载、附近危险源及重要防护目标等信息，从桥梁自身、自然环境和社会环境等方面，综合研判桥梁风险等级，给出桥梁风险四色图，作为监测对象选择依据、监测布点、预警评估、分析研判和应急辅助的依据。</w:t>
      </w:r>
    </w:p>
    <w:bookmarkEnd w:id="29"/>
    <w:p>
      <w:pPr>
        <w:pStyle w:val="3"/>
        <w:spacing w:after="156"/>
      </w:pPr>
      <w:bookmarkStart w:id="30" w:name="_Toc182299735"/>
      <w:bookmarkStart w:id="31" w:name="_Toc184031825"/>
      <w:bookmarkStart w:id="32" w:name="_Hlk163750186"/>
      <w:r>
        <w:rPr>
          <w:rFonts w:hint="eastAsia"/>
        </w:rPr>
        <w:t>风险分析与制图</w:t>
      </w:r>
      <w:bookmarkEnd w:id="30"/>
      <w:bookmarkEnd w:id="31"/>
    </w:p>
    <w:p>
      <w:pPr>
        <w:spacing w:after="156"/>
      </w:pPr>
      <w:r>
        <w:rPr>
          <w:rFonts w:hint="eastAsia"/>
        </w:rPr>
        <w:t>风险分析主要包括安全风险的可能性分析和后果严重性分析。可能性分析主要通过对历史发生概率、现有控制措施有效性进行分析。后果严重性分析通过分析人员伤亡、财产损失、脆弱性目标影响、基础设施损坏或中断等综合度量。</w:t>
      </w:r>
    </w:p>
    <w:p>
      <w:pPr>
        <w:spacing w:after="156"/>
      </w:pPr>
      <w:r>
        <w:rPr>
          <w:rFonts w:hint="eastAsia"/>
        </w:rPr>
        <w:t>结合城市生命线各类风险事件发生的可能性和后果的严重程度，根据风险值的大小，将安全风险等级从高到低划分为重大风险、较大风险、一般风险、低风险四个等级，分别用Ⅰ级（红色）、Ⅱ级（橙色）、Ⅲ级（黄色）、Ⅳ级（蓝色）表示。采用风险矩阵方法确定风险等级，风险等级准则参考表《应用风险矩阵法的风险等级准则》。根据风险管理工作的实际情况，可对风险等级准则进行适当调整。</w:t>
      </w:r>
    </w:p>
    <w:bookmarkEnd w:id="32"/>
    <w:p>
      <w:pPr>
        <w:pStyle w:val="11"/>
        <w:spacing w:after="156"/>
      </w:pPr>
      <w:r>
        <w:rPr>
          <w:rFonts w:hint="eastAsia"/>
        </w:rPr>
        <w:t>表</w:t>
      </w:r>
      <w:r>
        <w:fldChar w:fldCharType="begin"/>
      </w:r>
      <w:r>
        <w:instrText xml:space="preserve"> </w:instrText>
      </w:r>
      <w:r>
        <w:rPr>
          <w:rFonts w:hint="eastAsia"/>
        </w:rPr>
        <w:instrText xml:space="preserve">STYLEREF 2 \s</w:instrText>
      </w:r>
      <w:r>
        <w:instrText xml:space="preserve"> </w:instrText>
      </w:r>
      <w:r>
        <w:fldChar w:fldCharType="separate"/>
      </w:r>
      <w:r>
        <w:t>3.4</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t>1</w:t>
      </w:r>
      <w:r>
        <w:fldChar w:fldCharType="end"/>
      </w:r>
      <w:bookmarkStart w:id="33" w:name="_Hlk163820210"/>
      <w:r>
        <w:rPr>
          <w:rFonts w:hint="eastAsia"/>
        </w:rPr>
        <w:t>应用风险矩阵法的风险等级准则</w:t>
      </w:r>
    </w:p>
    <w:bookmarkEnd w:id="33"/>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
        <w:gridCol w:w="1646"/>
        <w:gridCol w:w="794"/>
        <w:gridCol w:w="636"/>
        <w:gridCol w:w="794"/>
        <w:gridCol w:w="636"/>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610" w:type="dxa"/>
            <w:gridSpan w:val="2"/>
            <w:vMerge w:val="restart"/>
            <w:vAlign w:val="center"/>
          </w:tcPr>
          <w:p>
            <w:pPr>
              <w:spacing w:after="156" w:line="240" w:lineRule="auto"/>
              <w:ind w:firstLine="0" w:firstLineChars="0"/>
              <w:jc w:val="center"/>
              <w:rPr>
                <w:rFonts w:hint="eastAsia" w:ascii="宋体" w:hAnsi="宋体" w:eastAsia="宋体"/>
                <w:sz w:val="21"/>
                <w:szCs w:val="21"/>
                <w:lang w:eastAsia="en-US"/>
              </w:rPr>
            </w:pPr>
            <w:bookmarkStart w:id="34" w:name="_Hlk163820181"/>
            <w:r>
              <w:rPr>
                <w:rFonts w:hint="eastAsia" w:ascii="宋体" w:hAnsi="宋体" w:eastAsia="宋体"/>
                <w:sz w:val="21"/>
                <w:szCs w:val="21"/>
              </w:rPr>
              <w:t>风险等级</w:t>
            </w:r>
          </w:p>
        </w:tc>
        <w:tc>
          <w:tcPr>
            <w:tcW w:w="3654" w:type="dxa"/>
            <w:gridSpan w:val="5"/>
            <w:vAlign w:val="center"/>
          </w:tcPr>
          <w:p>
            <w:pPr>
              <w:spacing w:after="156" w:line="240" w:lineRule="auto"/>
              <w:ind w:firstLine="0" w:firstLineChars="0"/>
              <w:jc w:val="center"/>
              <w:rPr>
                <w:rFonts w:hint="eastAsia" w:ascii="宋体" w:hAnsi="宋体" w:eastAsia="宋体"/>
                <w:sz w:val="21"/>
                <w:szCs w:val="21"/>
                <w:lang w:eastAsia="en-US"/>
              </w:rPr>
            </w:pPr>
            <w:r>
              <w:rPr>
                <w:rFonts w:hint="eastAsia" w:ascii="宋体" w:hAnsi="宋体" w:eastAsia="宋体"/>
                <w:sz w:val="21"/>
                <w:szCs w:val="21"/>
              </w:rPr>
              <w:t>后果严重性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10" w:type="dxa"/>
            <w:gridSpan w:val="2"/>
            <w:vMerge w:val="continue"/>
            <w:tcBorders>
              <w:top w:val="nil"/>
            </w:tcBorders>
            <w:vAlign w:val="center"/>
          </w:tcPr>
          <w:p>
            <w:pPr>
              <w:spacing w:after="156" w:line="240" w:lineRule="auto"/>
              <w:ind w:firstLine="0" w:firstLineChars="0"/>
              <w:jc w:val="center"/>
              <w:rPr>
                <w:rFonts w:hint="eastAsia" w:ascii="宋体" w:hAnsi="宋体" w:eastAsia="宋体"/>
                <w:sz w:val="21"/>
                <w:szCs w:val="21"/>
                <w:lang w:eastAsia="en-US"/>
              </w:rPr>
            </w:pPr>
          </w:p>
        </w:tc>
        <w:tc>
          <w:tcPr>
            <w:tcW w:w="794" w:type="dxa"/>
            <w:vAlign w:val="center"/>
          </w:tcPr>
          <w:p>
            <w:pPr>
              <w:spacing w:after="156" w:line="240" w:lineRule="auto"/>
              <w:ind w:firstLine="0" w:firstLineChars="0"/>
              <w:jc w:val="center"/>
              <w:rPr>
                <w:rFonts w:hint="eastAsia" w:ascii="宋体" w:hAnsi="宋体" w:eastAsia="宋体"/>
                <w:sz w:val="21"/>
                <w:szCs w:val="21"/>
                <w:lang w:eastAsia="en-US"/>
              </w:rPr>
            </w:pPr>
            <w:r>
              <w:rPr>
                <w:rFonts w:hint="eastAsia" w:ascii="宋体" w:hAnsi="宋体" w:eastAsia="宋体"/>
                <w:sz w:val="21"/>
                <w:szCs w:val="21"/>
              </w:rPr>
              <w:t>很小</w:t>
            </w:r>
            <w:r>
              <w:rPr>
                <w:rFonts w:hint="eastAsia" w:ascii="宋体" w:hAnsi="宋体" w:eastAsia="宋体"/>
                <w:sz w:val="21"/>
                <w:szCs w:val="21"/>
                <w:lang w:eastAsia="en-US"/>
              </w:rPr>
              <w:t>1</w:t>
            </w:r>
          </w:p>
        </w:tc>
        <w:tc>
          <w:tcPr>
            <w:tcW w:w="636" w:type="dxa"/>
            <w:vAlign w:val="center"/>
          </w:tcPr>
          <w:p>
            <w:pPr>
              <w:spacing w:after="156" w:line="240" w:lineRule="auto"/>
              <w:ind w:firstLine="0" w:firstLineChars="0"/>
              <w:jc w:val="center"/>
              <w:rPr>
                <w:rFonts w:hint="eastAsia" w:ascii="宋体" w:hAnsi="宋体" w:eastAsia="宋体"/>
                <w:sz w:val="21"/>
                <w:szCs w:val="21"/>
                <w:lang w:eastAsia="en-US"/>
              </w:rPr>
            </w:pPr>
            <w:r>
              <w:rPr>
                <w:rFonts w:hint="eastAsia" w:ascii="宋体" w:hAnsi="宋体" w:eastAsia="宋体"/>
                <w:sz w:val="21"/>
                <w:szCs w:val="21"/>
                <w:lang w:eastAsia="en-US"/>
              </w:rPr>
              <w:t>小2</w:t>
            </w:r>
          </w:p>
        </w:tc>
        <w:tc>
          <w:tcPr>
            <w:tcW w:w="794" w:type="dxa"/>
            <w:vAlign w:val="center"/>
          </w:tcPr>
          <w:p>
            <w:pPr>
              <w:spacing w:after="156" w:line="240" w:lineRule="auto"/>
              <w:ind w:firstLine="0" w:firstLineChars="0"/>
              <w:jc w:val="center"/>
              <w:rPr>
                <w:rFonts w:hint="eastAsia" w:ascii="宋体" w:hAnsi="宋体" w:eastAsia="宋体"/>
                <w:sz w:val="21"/>
                <w:szCs w:val="21"/>
                <w:lang w:eastAsia="en-US"/>
              </w:rPr>
            </w:pPr>
            <w:r>
              <w:rPr>
                <w:rFonts w:hint="eastAsia" w:ascii="宋体" w:hAnsi="宋体" w:eastAsia="宋体"/>
                <w:sz w:val="21"/>
                <w:szCs w:val="21"/>
              </w:rPr>
              <w:t>一般</w:t>
            </w:r>
            <w:r>
              <w:rPr>
                <w:rFonts w:hint="eastAsia" w:ascii="宋体" w:hAnsi="宋体" w:eastAsia="宋体"/>
                <w:sz w:val="21"/>
                <w:szCs w:val="21"/>
                <w:lang w:eastAsia="en-US"/>
              </w:rPr>
              <w:t>3</w:t>
            </w:r>
          </w:p>
        </w:tc>
        <w:tc>
          <w:tcPr>
            <w:tcW w:w="636" w:type="dxa"/>
            <w:vAlign w:val="center"/>
          </w:tcPr>
          <w:p>
            <w:pPr>
              <w:spacing w:after="156" w:line="240" w:lineRule="auto"/>
              <w:ind w:firstLine="0" w:firstLineChars="0"/>
              <w:jc w:val="center"/>
              <w:rPr>
                <w:rFonts w:hint="eastAsia" w:ascii="宋体" w:hAnsi="宋体" w:eastAsia="宋体"/>
                <w:sz w:val="21"/>
                <w:szCs w:val="21"/>
                <w:lang w:eastAsia="en-US"/>
              </w:rPr>
            </w:pPr>
            <w:r>
              <w:rPr>
                <w:rFonts w:hint="eastAsia" w:ascii="宋体" w:hAnsi="宋体" w:eastAsia="宋体"/>
                <w:sz w:val="21"/>
                <w:szCs w:val="21"/>
                <w:lang w:eastAsia="en-US"/>
              </w:rPr>
              <w:t>大4</w:t>
            </w:r>
          </w:p>
        </w:tc>
        <w:tc>
          <w:tcPr>
            <w:tcW w:w="794" w:type="dxa"/>
            <w:vAlign w:val="center"/>
          </w:tcPr>
          <w:p>
            <w:pPr>
              <w:spacing w:after="156" w:line="240" w:lineRule="auto"/>
              <w:ind w:firstLine="0" w:firstLineChars="0"/>
              <w:jc w:val="center"/>
              <w:rPr>
                <w:rFonts w:hint="eastAsia" w:ascii="宋体" w:hAnsi="宋体" w:eastAsia="宋体"/>
                <w:sz w:val="21"/>
                <w:szCs w:val="21"/>
                <w:lang w:eastAsia="en-US"/>
              </w:rPr>
            </w:pPr>
            <w:r>
              <w:rPr>
                <w:rFonts w:hint="eastAsia" w:ascii="宋体" w:hAnsi="宋体" w:eastAsia="宋体"/>
                <w:sz w:val="21"/>
                <w:szCs w:val="21"/>
              </w:rPr>
              <w:t>很大</w:t>
            </w:r>
            <w:r>
              <w:rPr>
                <w:rFonts w:hint="eastAsia" w:ascii="宋体" w:hAnsi="宋体" w:eastAsia="宋体"/>
                <w:sz w:val="21"/>
                <w:szCs w:val="21"/>
                <w:lang w:eastAsia="en-U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964" w:type="dxa"/>
            <w:vMerge w:val="restart"/>
            <w:vAlign w:val="center"/>
          </w:tcPr>
          <w:p>
            <w:pPr>
              <w:spacing w:after="156" w:line="240" w:lineRule="auto"/>
              <w:ind w:firstLine="0" w:firstLineChars="0"/>
              <w:rPr>
                <w:rFonts w:hint="eastAsia" w:ascii="宋体" w:hAnsi="宋体" w:eastAsia="宋体"/>
                <w:sz w:val="21"/>
                <w:szCs w:val="21"/>
                <w:lang w:eastAsia="en-US"/>
              </w:rPr>
            </w:pPr>
            <w:r>
              <w:rPr>
                <w:rFonts w:hint="eastAsia" w:ascii="宋体" w:hAnsi="宋体" w:eastAsia="宋体"/>
                <w:sz w:val="21"/>
                <w:szCs w:val="21"/>
              </w:rPr>
              <w:t>可能性</w:t>
            </w:r>
          </w:p>
        </w:tc>
        <w:tc>
          <w:tcPr>
            <w:tcW w:w="1646" w:type="dxa"/>
            <w:vAlign w:val="center"/>
          </w:tcPr>
          <w:p>
            <w:pPr>
              <w:spacing w:after="156" w:line="240" w:lineRule="auto"/>
              <w:ind w:firstLine="0" w:firstLineChars="0"/>
              <w:jc w:val="center"/>
              <w:rPr>
                <w:rFonts w:hint="eastAsia" w:ascii="宋体" w:hAnsi="宋体" w:eastAsia="宋体"/>
                <w:sz w:val="21"/>
                <w:szCs w:val="21"/>
              </w:rPr>
            </w:pPr>
            <w:r>
              <w:rPr>
                <w:rFonts w:hint="eastAsia" w:ascii="宋体" w:hAnsi="宋体" w:eastAsia="宋体"/>
                <w:sz w:val="21"/>
                <w:szCs w:val="21"/>
              </w:rPr>
              <w:t>基本不可能1</w:t>
            </w:r>
          </w:p>
        </w:tc>
        <w:tc>
          <w:tcPr>
            <w:tcW w:w="794" w:type="dxa"/>
            <w:shd w:val="clear" w:color="auto" w:fill="006FC0"/>
            <w:vAlign w:val="center"/>
          </w:tcPr>
          <w:p>
            <w:pPr>
              <w:spacing w:after="156" w:line="240" w:lineRule="auto"/>
              <w:ind w:firstLine="0" w:firstLineChars="0"/>
              <w:jc w:val="center"/>
              <w:rPr>
                <w:rFonts w:hint="eastAsia" w:ascii="宋体" w:hAnsi="宋体" w:eastAsia="宋体"/>
                <w:sz w:val="21"/>
                <w:szCs w:val="21"/>
                <w:lang w:eastAsia="en-US"/>
              </w:rPr>
            </w:pPr>
            <w:r>
              <w:rPr>
                <w:rFonts w:hint="eastAsia" w:ascii="宋体" w:hAnsi="宋体" w:eastAsia="宋体"/>
                <w:w w:val="99"/>
                <w:sz w:val="21"/>
                <w:szCs w:val="21"/>
                <w:lang w:eastAsia="en-US"/>
              </w:rPr>
              <w:t>低</w:t>
            </w:r>
          </w:p>
        </w:tc>
        <w:tc>
          <w:tcPr>
            <w:tcW w:w="636" w:type="dxa"/>
            <w:shd w:val="clear" w:color="auto" w:fill="006FC0"/>
            <w:vAlign w:val="center"/>
          </w:tcPr>
          <w:p>
            <w:pPr>
              <w:spacing w:after="156" w:line="240" w:lineRule="auto"/>
              <w:ind w:firstLine="0" w:firstLineChars="0"/>
              <w:jc w:val="center"/>
              <w:rPr>
                <w:rFonts w:hint="eastAsia" w:ascii="宋体" w:hAnsi="宋体" w:eastAsia="宋体"/>
                <w:sz w:val="21"/>
                <w:szCs w:val="21"/>
                <w:lang w:eastAsia="en-US"/>
              </w:rPr>
            </w:pPr>
            <w:r>
              <w:rPr>
                <w:rFonts w:hint="eastAsia" w:ascii="宋体" w:hAnsi="宋体" w:eastAsia="宋体"/>
                <w:w w:val="99"/>
                <w:sz w:val="21"/>
                <w:szCs w:val="21"/>
                <w:lang w:eastAsia="en-US"/>
              </w:rPr>
              <w:t>低</w:t>
            </w:r>
          </w:p>
        </w:tc>
        <w:tc>
          <w:tcPr>
            <w:tcW w:w="794" w:type="dxa"/>
            <w:shd w:val="clear" w:color="auto" w:fill="006FC0"/>
            <w:vAlign w:val="center"/>
          </w:tcPr>
          <w:p>
            <w:pPr>
              <w:spacing w:after="156" w:line="240" w:lineRule="auto"/>
              <w:ind w:firstLine="0" w:firstLineChars="0"/>
              <w:jc w:val="center"/>
              <w:rPr>
                <w:rFonts w:hint="eastAsia" w:ascii="宋体" w:hAnsi="宋体" w:eastAsia="宋体"/>
                <w:sz w:val="21"/>
                <w:szCs w:val="21"/>
                <w:lang w:eastAsia="en-US"/>
              </w:rPr>
            </w:pPr>
            <w:r>
              <w:rPr>
                <w:rFonts w:hint="eastAsia" w:ascii="宋体" w:hAnsi="宋体" w:eastAsia="宋体"/>
                <w:w w:val="99"/>
                <w:sz w:val="21"/>
                <w:szCs w:val="21"/>
                <w:lang w:eastAsia="en-US"/>
              </w:rPr>
              <w:t>低</w:t>
            </w:r>
          </w:p>
        </w:tc>
        <w:tc>
          <w:tcPr>
            <w:tcW w:w="636" w:type="dxa"/>
            <w:shd w:val="clear" w:color="auto" w:fill="FFFF00"/>
            <w:vAlign w:val="center"/>
          </w:tcPr>
          <w:p>
            <w:pPr>
              <w:spacing w:after="156" w:line="240" w:lineRule="auto"/>
              <w:ind w:firstLine="0" w:firstLineChars="0"/>
              <w:jc w:val="center"/>
              <w:rPr>
                <w:rFonts w:hint="eastAsia" w:ascii="宋体" w:hAnsi="宋体" w:eastAsia="宋体"/>
                <w:sz w:val="21"/>
                <w:szCs w:val="21"/>
                <w:lang w:eastAsia="en-US"/>
              </w:rPr>
            </w:pPr>
            <w:r>
              <w:rPr>
                <w:rFonts w:hint="eastAsia" w:ascii="宋体" w:hAnsi="宋体" w:eastAsia="宋体"/>
                <w:sz w:val="21"/>
                <w:szCs w:val="21"/>
              </w:rPr>
              <w:t>一般</w:t>
            </w:r>
          </w:p>
        </w:tc>
        <w:tc>
          <w:tcPr>
            <w:tcW w:w="794" w:type="dxa"/>
            <w:shd w:val="clear" w:color="auto" w:fill="FFFF00"/>
            <w:vAlign w:val="center"/>
          </w:tcPr>
          <w:p>
            <w:pPr>
              <w:spacing w:after="156" w:line="240" w:lineRule="auto"/>
              <w:ind w:firstLine="0" w:firstLineChars="0"/>
              <w:jc w:val="center"/>
              <w:rPr>
                <w:rFonts w:hint="eastAsia" w:ascii="宋体" w:hAnsi="宋体" w:eastAsia="宋体"/>
                <w:sz w:val="21"/>
                <w:szCs w:val="21"/>
                <w:lang w:eastAsia="en-US"/>
              </w:rPr>
            </w:pPr>
            <w:r>
              <w:rPr>
                <w:rFonts w:hint="eastAsia" w:ascii="宋体" w:hAnsi="宋体" w:eastAsia="宋体"/>
                <w:sz w:val="21"/>
                <w:szCs w:val="21"/>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964" w:type="dxa"/>
            <w:vMerge w:val="continue"/>
            <w:tcBorders>
              <w:top w:val="nil"/>
            </w:tcBorders>
            <w:vAlign w:val="center"/>
          </w:tcPr>
          <w:p>
            <w:pPr>
              <w:spacing w:after="156" w:line="240" w:lineRule="auto"/>
              <w:ind w:firstLine="0" w:firstLineChars="0"/>
              <w:rPr>
                <w:rFonts w:hint="eastAsia" w:ascii="宋体" w:hAnsi="宋体" w:eastAsia="宋体"/>
                <w:sz w:val="21"/>
                <w:szCs w:val="21"/>
                <w:lang w:eastAsia="en-US"/>
              </w:rPr>
            </w:pPr>
          </w:p>
        </w:tc>
        <w:tc>
          <w:tcPr>
            <w:tcW w:w="1646" w:type="dxa"/>
            <w:vAlign w:val="center"/>
          </w:tcPr>
          <w:p>
            <w:pPr>
              <w:spacing w:after="156" w:line="240" w:lineRule="auto"/>
              <w:ind w:firstLine="0" w:firstLineChars="0"/>
              <w:jc w:val="center"/>
              <w:rPr>
                <w:rFonts w:hint="eastAsia" w:ascii="宋体" w:hAnsi="宋体" w:eastAsia="宋体"/>
                <w:sz w:val="21"/>
                <w:szCs w:val="21"/>
                <w:lang w:eastAsia="en-US"/>
              </w:rPr>
            </w:pPr>
            <w:r>
              <w:rPr>
                <w:rFonts w:hint="eastAsia" w:ascii="宋体" w:hAnsi="宋体" w:eastAsia="宋体"/>
                <w:sz w:val="21"/>
                <w:szCs w:val="21"/>
              </w:rPr>
              <w:t>较不可能</w:t>
            </w:r>
            <w:r>
              <w:rPr>
                <w:rFonts w:hint="eastAsia" w:ascii="宋体" w:hAnsi="宋体" w:eastAsia="宋体"/>
                <w:sz w:val="21"/>
                <w:szCs w:val="21"/>
                <w:lang w:eastAsia="en-US"/>
              </w:rPr>
              <w:t>2</w:t>
            </w:r>
          </w:p>
        </w:tc>
        <w:tc>
          <w:tcPr>
            <w:tcW w:w="794" w:type="dxa"/>
            <w:shd w:val="clear" w:color="auto" w:fill="006FC0"/>
            <w:vAlign w:val="center"/>
          </w:tcPr>
          <w:p>
            <w:pPr>
              <w:spacing w:after="156" w:line="240" w:lineRule="auto"/>
              <w:ind w:firstLine="0" w:firstLineChars="0"/>
              <w:jc w:val="center"/>
              <w:rPr>
                <w:rFonts w:hint="eastAsia" w:ascii="宋体" w:hAnsi="宋体" w:eastAsia="宋体"/>
                <w:sz w:val="21"/>
                <w:szCs w:val="21"/>
                <w:lang w:eastAsia="en-US"/>
              </w:rPr>
            </w:pPr>
            <w:r>
              <w:rPr>
                <w:rFonts w:hint="eastAsia" w:ascii="宋体" w:hAnsi="宋体" w:eastAsia="宋体"/>
                <w:w w:val="99"/>
                <w:sz w:val="21"/>
                <w:szCs w:val="21"/>
                <w:lang w:eastAsia="en-US"/>
              </w:rPr>
              <w:t>低</w:t>
            </w:r>
          </w:p>
        </w:tc>
        <w:tc>
          <w:tcPr>
            <w:tcW w:w="636" w:type="dxa"/>
            <w:shd w:val="clear" w:color="auto" w:fill="006FC0"/>
            <w:vAlign w:val="center"/>
          </w:tcPr>
          <w:p>
            <w:pPr>
              <w:spacing w:after="156" w:line="240" w:lineRule="auto"/>
              <w:ind w:firstLine="0" w:firstLineChars="0"/>
              <w:jc w:val="center"/>
              <w:rPr>
                <w:rFonts w:hint="eastAsia" w:ascii="宋体" w:hAnsi="宋体" w:eastAsia="宋体"/>
                <w:sz w:val="21"/>
                <w:szCs w:val="21"/>
                <w:lang w:eastAsia="en-US"/>
              </w:rPr>
            </w:pPr>
            <w:r>
              <w:rPr>
                <w:rFonts w:hint="eastAsia" w:ascii="宋体" w:hAnsi="宋体" w:eastAsia="宋体"/>
                <w:w w:val="99"/>
                <w:sz w:val="21"/>
                <w:szCs w:val="21"/>
                <w:lang w:eastAsia="en-US"/>
              </w:rPr>
              <w:t>低</w:t>
            </w:r>
          </w:p>
        </w:tc>
        <w:tc>
          <w:tcPr>
            <w:tcW w:w="794" w:type="dxa"/>
            <w:shd w:val="clear" w:color="auto" w:fill="FFFF00"/>
            <w:vAlign w:val="center"/>
          </w:tcPr>
          <w:p>
            <w:pPr>
              <w:spacing w:after="156" w:line="240" w:lineRule="auto"/>
              <w:ind w:firstLine="0" w:firstLineChars="0"/>
              <w:jc w:val="center"/>
              <w:rPr>
                <w:rFonts w:hint="eastAsia" w:ascii="宋体" w:hAnsi="宋体" w:eastAsia="宋体"/>
                <w:sz w:val="21"/>
                <w:szCs w:val="21"/>
                <w:lang w:eastAsia="en-US"/>
              </w:rPr>
            </w:pPr>
            <w:r>
              <w:rPr>
                <w:rFonts w:hint="eastAsia" w:ascii="宋体" w:hAnsi="宋体" w:eastAsia="宋体"/>
                <w:sz w:val="21"/>
                <w:szCs w:val="21"/>
              </w:rPr>
              <w:t>一般</w:t>
            </w:r>
          </w:p>
        </w:tc>
        <w:tc>
          <w:tcPr>
            <w:tcW w:w="636" w:type="dxa"/>
            <w:shd w:val="clear" w:color="auto" w:fill="FFFF00"/>
            <w:vAlign w:val="center"/>
          </w:tcPr>
          <w:p>
            <w:pPr>
              <w:spacing w:after="156" w:line="240" w:lineRule="auto"/>
              <w:ind w:firstLine="0" w:firstLineChars="0"/>
              <w:jc w:val="center"/>
              <w:rPr>
                <w:rFonts w:hint="eastAsia" w:ascii="宋体" w:hAnsi="宋体" w:eastAsia="宋体"/>
                <w:sz w:val="21"/>
                <w:szCs w:val="21"/>
                <w:lang w:eastAsia="en-US"/>
              </w:rPr>
            </w:pPr>
            <w:r>
              <w:rPr>
                <w:rFonts w:hint="eastAsia" w:ascii="宋体" w:hAnsi="宋体" w:eastAsia="宋体"/>
                <w:sz w:val="21"/>
                <w:szCs w:val="21"/>
              </w:rPr>
              <w:t>一般</w:t>
            </w:r>
          </w:p>
        </w:tc>
        <w:tc>
          <w:tcPr>
            <w:tcW w:w="794" w:type="dxa"/>
            <w:shd w:val="clear" w:color="auto" w:fill="FF6600"/>
            <w:vAlign w:val="center"/>
          </w:tcPr>
          <w:p>
            <w:pPr>
              <w:spacing w:after="156" w:line="240" w:lineRule="auto"/>
              <w:ind w:firstLine="0" w:firstLineChars="0"/>
              <w:jc w:val="center"/>
              <w:rPr>
                <w:rFonts w:hint="eastAsia" w:ascii="宋体" w:hAnsi="宋体" w:eastAsia="宋体"/>
                <w:sz w:val="21"/>
                <w:szCs w:val="21"/>
                <w:lang w:eastAsia="en-US"/>
              </w:rPr>
            </w:pPr>
            <w:r>
              <w:rPr>
                <w:rFonts w:hint="eastAsia" w:ascii="宋体" w:hAnsi="宋体" w:eastAsia="宋体"/>
                <w:sz w:val="21"/>
                <w:szCs w:val="21"/>
              </w:rPr>
              <w:t>较大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964" w:type="dxa"/>
            <w:vMerge w:val="continue"/>
            <w:tcBorders>
              <w:top w:val="nil"/>
            </w:tcBorders>
            <w:vAlign w:val="center"/>
          </w:tcPr>
          <w:p>
            <w:pPr>
              <w:spacing w:after="156" w:line="240" w:lineRule="auto"/>
              <w:ind w:firstLine="0" w:firstLineChars="0"/>
              <w:rPr>
                <w:rFonts w:hint="eastAsia" w:ascii="宋体" w:hAnsi="宋体" w:eastAsia="宋体"/>
                <w:sz w:val="21"/>
                <w:szCs w:val="21"/>
                <w:lang w:eastAsia="en-US"/>
              </w:rPr>
            </w:pPr>
          </w:p>
        </w:tc>
        <w:tc>
          <w:tcPr>
            <w:tcW w:w="1646" w:type="dxa"/>
            <w:vAlign w:val="center"/>
          </w:tcPr>
          <w:p>
            <w:pPr>
              <w:spacing w:after="156" w:line="240" w:lineRule="auto"/>
              <w:ind w:firstLine="0" w:firstLineChars="0"/>
              <w:jc w:val="center"/>
              <w:rPr>
                <w:rFonts w:hint="eastAsia" w:ascii="宋体" w:hAnsi="宋体" w:eastAsia="宋体"/>
                <w:sz w:val="21"/>
                <w:szCs w:val="21"/>
                <w:lang w:eastAsia="en-US"/>
              </w:rPr>
            </w:pPr>
            <w:r>
              <w:rPr>
                <w:rFonts w:hint="eastAsia" w:ascii="宋体" w:hAnsi="宋体" w:eastAsia="宋体"/>
                <w:sz w:val="21"/>
                <w:szCs w:val="21"/>
              </w:rPr>
              <w:t>可能</w:t>
            </w:r>
            <w:r>
              <w:rPr>
                <w:rFonts w:hint="eastAsia" w:ascii="宋体" w:hAnsi="宋体" w:eastAsia="宋体"/>
                <w:sz w:val="21"/>
                <w:szCs w:val="21"/>
                <w:lang w:eastAsia="en-US"/>
              </w:rPr>
              <w:t>3</w:t>
            </w:r>
          </w:p>
        </w:tc>
        <w:tc>
          <w:tcPr>
            <w:tcW w:w="794" w:type="dxa"/>
            <w:shd w:val="clear" w:color="auto" w:fill="006FC0"/>
            <w:vAlign w:val="center"/>
          </w:tcPr>
          <w:p>
            <w:pPr>
              <w:spacing w:after="156" w:line="240" w:lineRule="auto"/>
              <w:ind w:firstLine="0" w:firstLineChars="0"/>
              <w:jc w:val="center"/>
              <w:rPr>
                <w:rFonts w:hint="eastAsia" w:ascii="宋体" w:hAnsi="宋体" w:eastAsia="宋体"/>
                <w:sz w:val="21"/>
                <w:szCs w:val="21"/>
                <w:lang w:eastAsia="en-US"/>
              </w:rPr>
            </w:pPr>
            <w:r>
              <w:rPr>
                <w:rFonts w:hint="eastAsia" w:ascii="宋体" w:hAnsi="宋体" w:eastAsia="宋体"/>
                <w:w w:val="99"/>
                <w:sz w:val="21"/>
                <w:szCs w:val="21"/>
                <w:lang w:eastAsia="en-US"/>
              </w:rPr>
              <w:t>低</w:t>
            </w:r>
          </w:p>
        </w:tc>
        <w:tc>
          <w:tcPr>
            <w:tcW w:w="636" w:type="dxa"/>
            <w:shd w:val="clear" w:color="auto" w:fill="FFFF00"/>
            <w:vAlign w:val="center"/>
          </w:tcPr>
          <w:p>
            <w:pPr>
              <w:spacing w:after="156" w:line="240" w:lineRule="auto"/>
              <w:ind w:firstLine="0" w:firstLineChars="0"/>
              <w:jc w:val="center"/>
              <w:rPr>
                <w:rFonts w:hint="eastAsia" w:ascii="宋体" w:hAnsi="宋体" w:eastAsia="宋体"/>
                <w:sz w:val="21"/>
                <w:szCs w:val="21"/>
                <w:lang w:eastAsia="en-US"/>
              </w:rPr>
            </w:pPr>
            <w:r>
              <w:rPr>
                <w:rFonts w:hint="eastAsia" w:ascii="宋体" w:hAnsi="宋体" w:eastAsia="宋体"/>
                <w:sz w:val="21"/>
                <w:szCs w:val="21"/>
              </w:rPr>
              <w:t>一般</w:t>
            </w:r>
          </w:p>
        </w:tc>
        <w:tc>
          <w:tcPr>
            <w:tcW w:w="794" w:type="dxa"/>
            <w:shd w:val="clear" w:color="auto" w:fill="FFFF00"/>
            <w:vAlign w:val="center"/>
          </w:tcPr>
          <w:p>
            <w:pPr>
              <w:spacing w:after="156" w:line="240" w:lineRule="auto"/>
              <w:ind w:firstLine="0" w:firstLineChars="0"/>
              <w:jc w:val="center"/>
              <w:rPr>
                <w:rFonts w:hint="eastAsia" w:ascii="宋体" w:hAnsi="宋体" w:eastAsia="宋体"/>
                <w:sz w:val="21"/>
                <w:szCs w:val="21"/>
                <w:lang w:eastAsia="en-US"/>
              </w:rPr>
            </w:pPr>
            <w:r>
              <w:rPr>
                <w:rFonts w:hint="eastAsia" w:ascii="宋体" w:hAnsi="宋体" w:eastAsia="宋体"/>
                <w:sz w:val="21"/>
                <w:szCs w:val="21"/>
              </w:rPr>
              <w:t>一般</w:t>
            </w:r>
          </w:p>
        </w:tc>
        <w:tc>
          <w:tcPr>
            <w:tcW w:w="636" w:type="dxa"/>
            <w:shd w:val="clear" w:color="auto" w:fill="FF6600"/>
            <w:vAlign w:val="center"/>
          </w:tcPr>
          <w:p>
            <w:pPr>
              <w:spacing w:after="156" w:line="240" w:lineRule="auto"/>
              <w:ind w:firstLine="0" w:firstLineChars="0"/>
              <w:jc w:val="center"/>
              <w:rPr>
                <w:rFonts w:hint="eastAsia" w:ascii="宋体" w:hAnsi="宋体" w:eastAsia="宋体"/>
                <w:sz w:val="21"/>
                <w:szCs w:val="21"/>
                <w:lang w:eastAsia="en-US"/>
              </w:rPr>
            </w:pPr>
            <w:r>
              <w:rPr>
                <w:rFonts w:hint="eastAsia" w:ascii="宋体" w:hAnsi="宋体" w:eastAsia="宋体"/>
                <w:sz w:val="21"/>
                <w:szCs w:val="21"/>
              </w:rPr>
              <w:t>较大</w:t>
            </w:r>
          </w:p>
        </w:tc>
        <w:tc>
          <w:tcPr>
            <w:tcW w:w="794" w:type="dxa"/>
            <w:shd w:val="clear" w:color="auto" w:fill="FF0000"/>
            <w:vAlign w:val="center"/>
          </w:tcPr>
          <w:p>
            <w:pPr>
              <w:spacing w:after="156" w:line="240" w:lineRule="auto"/>
              <w:ind w:firstLine="0" w:firstLineChars="0"/>
              <w:jc w:val="center"/>
              <w:rPr>
                <w:rFonts w:hint="eastAsia" w:ascii="宋体" w:hAnsi="宋体" w:eastAsia="宋体"/>
                <w:sz w:val="21"/>
                <w:szCs w:val="21"/>
                <w:lang w:eastAsia="en-US"/>
              </w:rPr>
            </w:pPr>
            <w:r>
              <w:rPr>
                <w:rFonts w:hint="eastAsia" w:ascii="宋体" w:hAnsi="宋体" w:eastAsia="宋体"/>
                <w:sz w:val="21"/>
                <w:szCs w:val="21"/>
              </w:rPr>
              <w:t>重大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964" w:type="dxa"/>
            <w:vMerge w:val="continue"/>
            <w:tcBorders>
              <w:top w:val="nil"/>
            </w:tcBorders>
            <w:vAlign w:val="center"/>
          </w:tcPr>
          <w:p>
            <w:pPr>
              <w:spacing w:after="156" w:line="240" w:lineRule="auto"/>
              <w:ind w:firstLine="0" w:firstLineChars="0"/>
              <w:rPr>
                <w:rFonts w:hint="eastAsia" w:ascii="宋体" w:hAnsi="宋体" w:eastAsia="宋体"/>
                <w:sz w:val="21"/>
                <w:szCs w:val="21"/>
                <w:lang w:eastAsia="en-US"/>
              </w:rPr>
            </w:pPr>
          </w:p>
        </w:tc>
        <w:tc>
          <w:tcPr>
            <w:tcW w:w="1646" w:type="dxa"/>
            <w:vAlign w:val="center"/>
          </w:tcPr>
          <w:p>
            <w:pPr>
              <w:spacing w:after="156" w:line="240" w:lineRule="auto"/>
              <w:ind w:firstLine="0" w:firstLineChars="0"/>
              <w:jc w:val="center"/>
              <w:rPr>
                <w:rFonts w:hint="eastAsia" w:ascii="宋体" w:hAnsi="宋体" w:eastAsia="宋体"/>
                <w:sz w:val="21"/>
                <w:szCs w:val="21"/>
                <w:lang w:eastAsia="en-US"/>
              </w:rPr>
            </w:pPr>
            <w:r>
              <w:rPr>
                <w:rFonts w:hint="eastAsia" w:ascii="宋体" w:hAnsi="宋体" w:eastAsia="宋体"/>
                <w:sz w:val="21"/>
                <w:szCs w:val="21"/>
              </w:rPr>
              <w:t>较可能</w:t>
            </w:r>
            <w:r>
              <w:rPr>
                <w:rFonts w:hint="eastAsia" w:ascii="宋体" w:hAnsi="宋体" w:eastAsia="宋体"/>
                <w:sz w:val="21"/>
                <w:szCs w:val="21"/>
                <w:lang w:eastAsia="en-US"/>
              </w:rPr>
              <w:t>4</w:t>
            </w:r>
          </w:p>
        </w:tc>
        <w:tc>
          <w:tcPr>
            <w:tcW w:w="794" w:type="dxa"/>
            <w:shd w:val="clear" w:color="auto" w:fill="FFFF00"/>
            <w:vAlign w:val="center"/>
          </w:tcPr>
          <w:p>
            <w:pPr>
              <w:spacing w:after="156" w:line="240" w:lineRule="auto"/>
              <w:ind w:firstLine="0" w:firstLineChars="0"/>
              <w:jc w:val="center"/>
              <w:rPr>
                <w:rFonts w:hint="eastAsia" w:ascii="宋体" w:hAnsi="宋体" w:eastAsia="宋体"/>
                <w:sz w:val="21"/>
                <w:szCs w:val="21"/>
                <w:lang w:eastAsia="en-US"/>
              </w:rPr>
            </w:pPr>
            <w:r>
              <w:rPr>
                <w:rFonts w:hint="eastAsia" w:ascii="宋体" w:hAnsi="宋体" w:eastAsia="宋体"/>
                <w:sz w:val="21"/>
                <w:szCs w:val="21"/>
              </w:rPr>
              <w:t>一般</w:t>
            </w:r>
          </w:p>
        </w:tc>
        <w:tc>
          <w:tcPr>
            <w:tcW w:w="636" w:type="dxa"/>
            <w:shd w:val="clear" w:color="auto" w:fill="FFFF00"/>
            <w:vAlign w:val="center"/>
          </w:tcPr>
          <w:p>
            <w:pPr>
              <w:spacing w:after="156" w:line="240" w:lineRule="auto"/>
              <w:ind w:firstLine="0" w:firstLineChars="0"/>
              <w:jc w:val="center"/>
              <w:rPr>
                <w:rFonts w:hint="eastAsia" w:ascii="宋体" w:hAnsi="宋体" w:eastAsia="宋体"/>
                <w:sz w:val="21"/>
                <w:szCs w:val="21"/>
                <w:lang w:eastAsia="en-US"/>
              </w:rPr>
            </w:pPr>
            <w:r>
              <w:rPr>
                <w:rFonts w:hint="eastAsia" w:ascii="宋体" w:hAnsi="宋体" w:eastAsia="宋体"/>
                <w:sz w:val="21"/>
                <w:szCs w:val="21"/>
              </w:rPr>
              <w:t>一般</w:t>
            </w:r>
          </w:p>
        </w:tc>
        <w:tc>
          <w:tcPr>
            <w:tcW w:w="794" w:type="dxa"/>
            <w:shd w:val="clear" w:color="auto" w:fill="FF6600"/>
            <w:vAlign w:val="center"/>
          </w:tcPr>
          <w:p>
            <w:pPr>
              <w:spacing w:after="156" w:line="240" w:lineRule="auto"/>
              <w:ind w:firstLine="0" w:firstLineChars="0"/>
              <w:jc w:val="center"/>
              <w:rPr>
                <w:rFonts w:hint="eastAsia" w:ascii="宋体" w:hAnsi="宋体" w:eastAsia="宋体"/>
                <w:sz w:val="21"/>
                <w:szCs w:val="21"/>
                <w:lang w:eastAsia="en-US"/>
              </w:rPr>
            </w:pPr>
            <w:r>
              <w:rPr>
                <w:rFonts w:hint="eastAsia" w:ascii="宋体" w:hAnsi="宋体" w:eastAsia="宋体"/>
                <w:sz w:val="21"/>
                <w:szCs w:val="21"/>
              </w:rPr>
              <w:t>较大</w:t>
            </w:r>
          </w:p>
        </w:tc>
        <w:tc>
          <w:tcPr>
            <w:tcW w:w="636" w:type="dxa"/>
            <w:shd w:val="clear" w:color="auto" w:fill="FF6600"/>
            <w:vAlign w:val="center"/>
          </w:tcPr>
          <w:p>
            <w:pPr>
              <w:spacing w:after="156" w:line="240" w:lineRule="auto"/>
              <w:ind w:firstLine="0" w:firstLineChars="0"/>
              <w:jc w:val="center"/>
              <w:rPr>
                <w:rFonts w:hint="eastAsia" w:ascii="宋体" w:hAnsi="宋体" w:eastAsia="宋体"/>
                <w:sz w:val="21"/>
                <w:szCs w:val="21"/>
                <w:lang w:eastAsia="en-US"/>
              </w:rPr>
            </w:pPr>
            <w:r>
              <w:rPr>
                <w:rFonts w:hint="eastAsia" w:ascii="宋体" w:hAnsi="宋体" w:eastAsia="宋体"/>
                <w:sz w:val="21"/>
                <w:szCs w:val="21"/>
              </w:rPr>
              <w:t>较大</w:t>
            </w:r>
          </w:p>
        </w:tc>
        <w:tc>
          <w:tcPr>
            <w:tcW w:w="794" w:type="dxa"/>
            <w:shd w:val="clear" w:color="auto" w:fill="FF0000"/>
            <w:vAlign w:val="center"/>
          </w:tcPr>
          <w:p>
            <w:pPr>
              <w:spacing w:after="156" w:line="240" w:lineRule="auto"/>
              <w:ind w:firstLine="0" w:firstLineChars="0"/>
              <w:jc w:val="center"/>
              <w:rPr>
                <w:rFonts w:hint="eastAsia" w:ascii="宋体" w:hAnsi="宋体" w:eastAsia="宋体"/>
                <w:sz w:val="21"/>
                <w:szCs w:val="21"/>
                <w:lang w:eastAsia="en-US"/>
              </w:rPr>
            </w:pPr>
            <w:r>
              <w:rPr>
                <w:rFonts w:hint="eastAsia" w:ascii="宋体" w:hAnsi="宋体" w:eastAsia="宋体"/>
                <w:sz w:val="21"/>
                <w:szCs w:val="21"/>
              </w:rPr>
              <w:t>重大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964" w:type="dxa"/>
            <w:vMerge w:val="continue"/>
            <w:tcBorders>
              <w:top w:val="nil"/>
            </w:tcBorders>
            <w:vAlign w:val="center"/>
          </w:tcPr>
          <w:p>
            <w:pPr>
              <w:spacing w:after="156" w:line="240" w:lineRule="auto"/>
              <w:ind w:firstLine="0" w:firstLineChars="0"/>
              <w:rPr>
                <w:rFonts w:hint="eastAsia" w:ascii="宋体" w:hAnsi="宋体" w:eastAsia="宋体"/>
                <w:sz w:val="21"/>
                <w:szCs w:val="21"/>
                <w:lang w:eastAsia="en-US"/>
              </w:rPr>
            </w:pPr>
          </w:p>
        </w:tc>
        <w:tc>
          <w:tcPr>
            <w:tcW w:w="1646" w:type="dxa"/>
            <w:vAlign w:val="center"/>
          </w:tcPr>
          <w:p>
            <w:pPr>
              <w:spacing w:after="156" w:line="240" w:lineRule="auto"/>
              <w:ind w:firstLine="0" w:firstLineChars="0"/>
              <w:jc w:val="center"/>
              <w:rPr>
                <w:rFonts w:hint="eastAsia" w:ascii="宋体" w:hAnsi="宋体" w:eastAsia="宋体"/>
                <w:sz w:val="21"/>
                <w:szCs w:val="21"/>
                <w:lang w:eastAsia="en-US"/>
              </w:rPr>
            </w:pPr>
            <w:r>
              <w:rPr>
                <w:rFonts w:hint="eastAsia" w:ascii="宋体" w:hAnsi="宋体" w:eastAsia="宋体"/>
                <w:sz w:val="21"/>
                <w:szCs w:val="21"/>
              </w:rPr>
              <w:t>很可能</w:t>
            </w:r>
            <w:r>
              <w:rPr>
                <w:rFonts w:hint="eastAsia" w:ascii="宋体" w:hAnsi="宋体" w:eastAsia="宋体"/>
                <w:sz w:val="21"/>
                <w:szCs w:val="21"/>
                <w:lang w:eastAsia="en-US"/>
              </w:rPr>
              <w:t>5</w:t>
            </w:r>
          </w:p>
        </w:tc>
        <w:tc>
          <w:tcPr>
            <w:tcW w:w="794" w:type="dxa"/>
            <w:shd w:val="clear" w:color="auto" w:fill="FFFF00"/>
            <w:vAlign w:val="center"/>
          </w:tcPr>
          <w:p>
            <w:pPr>
              <w:spacing w:after="156" w:line="240" w:lineRule="auto"/>
              <w:ind w:firstLine="0" w:firstLineChars="0"/>
              <w:jc w:val="center"/>
              <w:rPr>
                <w:rFonts w:hint="eastAsia" w:ascii="宋体" w:hAnsi="宋体" w:eastAsia="宋体"/>
                <w:sz w:val="21"/>
                <w:szCs w:val="21"/>
                <w:lang w:eastAsia="en-US"/>
              </w:rPr>
            </w:pPr>
            <w:r>
              <w:rPr>
                <w:rFonts w:hint="eastAsia" w:ascii="宋体" w:hAnsi="宋体" w:eastAsia="宋体"/>
                <w:sz w:val="21"/>
                <w:szCs w:val="21"/>
              </w:rPr>
              <w:t>一般</w:t>
            </w:r>
          </w:p>
        </w:tc>
        <w:tc>
          <w:tcPr>
            <w:tcW w:w="636" w:type="dxa"/>
            <w:shd w:val="clear" w:color="auto" w:fill="FF6600"/>
            <w:vAlign w:val="center"/>
          </w:tcPr>
          <w:p>
            <w:pPr>
              <w:spacing w:after="156" w:line="240" w:lineRule="auto"/>
              <w:ind w:firstLine="0" w:firstLineChars="0"/>
              <w:jc w:val="center"/>
              <w:rPr>
                <w:rFonts w:hint="eastAsia" w:ascii="宋体" w:hAnsi="宋体" w:eastAsia="宋体"/>
                <w:sz w:val="21"/>
                <w:szCs w:val="21"/>
                <w:lang w:eastAsia="en-US"/>
              </w:rPr>
            </w:pPr>
            <w:r>
              <w:rPr>
                <w:rFonts w:hint="eastAsia" w:ascii="宋体" w:hAnsi="宋体" w:eastAsia="宋体"/>
                <w:sz w:val="21"/>
                <w:szCs w:val="21"/>
              </w:rPr>
              <w:t>较大</w:t>
            </w:r>
          </w:p>
        </w:tc>
        <w:tc>
          <w:tcPr>
            <w:tcW w:w="794" w:type="dxa"/>
            <w:shd w:val="clear" w:color="auto" w:fill="FF6600"/>
            <w:vAlign w:val="center"/>
          </w:tcPr>
          <w:p>
            <w:pPr>
              <w:spacing w:after="156" w:line="240" w:lineRule="auto"/>
              <w:ind w:firstLine="0" w:firstLineChars="0"/>
              <w:jc w:val="center"/>
              <w:rPr>
                <w:rFonts w:hint="eastAsia" w:ascii="宋体" w:hAnsi="宋体" w:eastAsia="宋体"/>
                <w:sz w:val="21"/>
                <w:szCs w:val="21"/>
                <w:lang w:eastAsia="en-US"/>
              </w:rPr>
            </w:pPr>
            <w:r>
              <w:rPr>
                <w:rFonts w:hint="eastAsia" w:ascii="宋体" w:hAnsi="宋体" w:eastAsia="宋体"/>
                <w:sz w:val="21"/>
                <w:szCs w:val="21"/>
              </w:rPr>
              <w:t>较大</w:t>
            </w:r>
          </w:p>
        </w:tc>
        <w:tc>
          <w:tcPr>
            <w:tcW w:w="636" w:type="dxa"/>
            <w:shd w:val="clear" w:color="auto" w:fill="FF0000"/>
            <w:vAlign w:val="center"/>
          </w:tcPr>
          <w:p>
            <w:pPr>
              <w:spacing w:after="156" w:line="240" w:lineRule="auto"/>
              <w:ind w:firstLine="0" w:firstLineChars="0"/>
              <w:jc w:val="center"/>
              <w:rPr>
                <w:rFonts w:hint="eastAsia" w:ascii="宋体" w:hAnsi="宋体" w:eastAsia="宋体"/>
                <w:sz w:val="21"/>
                <w:szCs w:val="21"/>
                <w:lang w:eastAsia="en-US"/>
              </w:rPr>
            </w:pPr>
            <w:r>
              <w:rPr>
                <w:rFonts w:hint="eastAsia" w:ascii="宋体" w:hAnsi="宋体" w:eastAsia="宋体"/>
                <w:sz w:val="21"/>
                <w:szCs w:val="21"/>
                <w:lang w:eastAsia="en-US"/>
              </w:rPr>
              <w:t>重大</w:t>
            </w:r>
          </w:p>
        </w:tc>
        <w:tc>
          <w:tcPr>
            <w:tcW w:w="794" w:type="dxa"/>
            <w:shd w:val="clear" w:color="auto" w:fill="FF0000"/>
            <w:vAlign w:val="center"/>
          </w:tcPr>
          <w:p>
            <w:pPr>
              <w:spacing w:after="156" w:line="240" w:lineRule="auto"/>
              <w:ind w:firstLine="0" w:firstLineChars="0"/>
              <w:jc w:val="center"/>
              <w:rPr>
                <w:rFonts w:hint="eastAsia" w:ascii="宋体" w:hAnsi="宋体" w:eastAsia="宋体"/>
                <w:sz w:val="21"/>
                <w:szCs w:val="21"/>
                <w:lang w:eastAsia="en-US"/>
              </w:rPr>
            </w:pPr>
            <w:r>
              <w:rPr>
                <w:rFonts w:hint="eastAsia" w:ascii="宋体" w:hAnsi="宋体" w:eastAsia="宋体"/>
                <w:sz w:val="21"/>
                <w:szCs w:val="21"/>
              </w:rPr>
              <w:t>重大</w:t>
            </w:r>
          </w:p>
        </w:tc>
      </w:tr>
      <w:bookmarkEnd w:id="34"/>
    </w:tbl>
    <w:p>
      <w:pPr>
        <w:spacing w:after="156"/>
      </w:pPr>
      <w:bookmarkStart w:id="35" w:name="_Hlk163750194"/>
      <w:r>
        <w:rPr>
          <w:rFonts w:hint="eastAsia"/>
        </w:rPr>
        <w:t>在汇总分析城市生命线各专项风险评价结果基础上，经现场核实，形成城市基础设施生命线安全工程风险清单，绘制城市基础设施生命线安全工程风险隐患四色图，编制《城市基础设施生命线安全工程风险评估报告》，制定分类分级管控措施，明确风险管控的责任部门和单位。风险评估结果作为城市基础设施生命线安全工程设计和建设的重要依据。</w:t>
      </w:r>
    </w:p>
    <w:bookmarkEnd w:id="35"/>
    <w:p>
      <w:pPr>
        <w:pStyle w:val="2"/>
        <w:spacing w:after="156"/>
      </w:pPr>
      <w:bookmarkStart w:id="36" w:name="_Toc184031826"/>
      <w:bookmarkStart w:id="37" w:name="_Toc182299736"/>
      <w:bookmarkStart w:id="38" w:name="_Hlk163819212"/>
      <w:r>
        <w:rPr>
          <w:rFonts w:hint="eastAsia"/>
        </w:rPr>
        <w:t>建设改造项目库构建要求</w:t>
      </w:r>
      <w:bookmarkEnd w:id="36"/>
      <w:bookmarkEnd w:id="37"/>
    </w:p>
    <w:p>
      <w:pPr>
        <w:spacing w:after="156"/>
      </w:pPr>
    </w:p>
    <w:p>
      <w:pPr>
        <w:spacing w:after="156"/>
      </w:pPr>
      <w:r>
        <w:t>各</w:t>
      </w:r>
      <w:r>
        <w:rPr>
          <w:rFonts w:hint="eastAsia"/>
        </w:rPr>
        <w:t>市州</w:t>
      </w:r>
      <w:r>
        <w:t>根据</w:t>
      </w:r>
      <w:r>
        <w:rPr>
          <w:rFonts w:hint="eastAsia"/>
        </w:rPr>
        <w:t>城市基础设施生命线安全工程</w:t>
      </w:r>
      <w:r>
        <w:t>建设需求，充分衔接道路年度建设改造计划，统筹各行业管线单位需求，</w:t>
      </w:r>
      <w:r>
        <w:rPr>
          <w:rFonts w:hint="eastAsia"/>
        </w:rPr>
        <w:t>并依据《城市地下管网管廊及设施建设改造实施方案编制指南（试行）》指导要求，</w:t>
      </w:r>
      <w:r>
        <w:t>结合老旧小区改造、城市更新、城市燃气管道老化更新改造、城市道路多杆合一等工作</w:t>
      </w:r>
      <w:r>
        <w:rPr>
          <w:rFonts w:hint="eastAsia"/>
        </w:rPr>
        <w:t>，构建</w:t>
      </w:r>
      <w:r>
        <w:t>地下管线建设改造项目库，明确年度建设计划</w:t>
      </w:r>
      <w:r>
        <w:rPr>
          <w:rFonts w:hint="eastAsia"/>
        </w:rPr>
        <w:t>，并实施动态更新。</w:t>
      </w:r>
    </w:p>
    <w:p>
      <w:pPr>
        <w:spacing w:after="156"/>
        <w:sectPr>
          <w:headerReference r:id="rId8" w:type="default"/>
          <w:footerReference r:id="rId9" w:type="default"/>
          <w:pgSz w:w="11906" w:h="16838"/>
          <w:pgMar w:top="1440" w:right="1800" w:bottom="1440" w:left="1800" w:header="851" w:footer="992" w:gutter="0"/>
          <w:pgNumType w:start="1"/>
          <w:cols w:space="425" w:num="1"/>
          <w:docGrid w:type="lines" w:linePitch="312" w:charSpace="0"/>
        </w:sectPr>
      </w:pPr>
      <w:r>
        <w:rPr>
          <w:rFonts w:hint="eastAsia"/>
        </w:rPr>
        <w:t>各市州城市基础设施生命线安全工程牵头部门需跟各管线权属部门做好充分协调，统筹规划本地城市生命线相关建设项目，在管网管廊及设施建设改造设计中需包含前端智能化改造的设计内容。建设改造项目库录入的项目应与《城市地下管网管廊及设施建设改造实施方案编制指南（试行）》中的项目清单内容保持一致，明确各类项目工程建设内容、工程量、投资估算、预期成效等内容，建设改造项目库的填写内容参照下方附表。</w:t>
      </w:r>
    </w:p>
    <w:p>
      <w:pPr>
        <w:spacing w:after="204" w:afterLines="50"/>
        <w:ind w:firstLine="0" w:firstLineChars="0"/>
        <w:rPr>
          <w:b/>
          <w:bCs/>
        </w:rPr>
      </w:pPr>
      <w:r>
        <w:rPr>
          <w:rFonts w:hint="eastAsia"/>
          <w:b/>
          <w:bCs/>
        </w:rPr>
        <w:t>附表：建设改造项目库填报表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927"/>
        <w:gridCol w:w="2572"/>
        <w:gridCol w:w="928"/>
        <w:gridCol w:w="928"/>
        <w:gridCol w:w="928"/>
        <w:gridCol w:w="928"/>
        <w:gridCol w:w="928"/>
        <w:gridCol w:w="1470"/>
        <w:gridCol w:w="1277"/>
        <w:gridCol w:w="1433"/>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27" w:type="pct"/>
            <w:vMerge w:val="restart"/>
            <w:shd w:val="clear" w:color="auto" w:fill="auto"/>
            <w:vAlign w:val="center"/>
          </w:tcPr>
          <w:p>
            <w:pPr>
              <w:widowControl/>
              <w:spacing w:line="240" w:lineRule="auto"/>
              <w:ind w:firstLine="0" w:firstLineChars="0"/>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序号</w:t>
            </w:r>
          </w:p>
        </w:tc>
        <w:tc>
          <w:tcPr>
            <w:tcW w:w="327" w:type="pct"/>
            <w:vMerge w:val="restart"/>
            <w:shd w:val="clear" w:color="auto" w:fill="auto"/>
            <w:vAlign w:val="center"/>
          </w:tcPr>
          <w:p>
            <w:pPr>
              <w:widowControl/>
              <w:spacing w:line="240" w:lineRule="auto"/>
              <w:ind w:firstLine="0" w:firstLineChars="0"/>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类别</w:t>
            </w:r>
          </w:p>
        </w:tc>
        <w:tc>
          <w:tcPr>
            <w:tcW w:w="907" w:type="pct"/>
            <w:vMerge w:val="restart"/>
            <w:shd w:val="clear" w:color="auto" w:fill="auto"/>
            <w:vAlign w:val="center"/>
          </w:tcPr>
          <w:p>
            <w:pPr>
              <w:widowControl/>
              <w:spacing w:line="240" w:lineRule="auto"/>
              <w:ind w:firstLine="0" w:firstLineChars="0"/>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建设成效</w:t>
            </w:r>
          </w:p>
        </w:tc>
        <w:tc>
          <w:tcPr>
            <w:tcW w:w="327" w:type="pct"/>
            <w:vMerge w:val="restart"/>
            <w:shd w:val="clear" w:color="auto" w:fill="auto"/>
            <w:vAlign w:val="center"/>
          </w:tcPr>
          <w:p>
            <w:pPr>
              <w:widowControl/>
              <w:spacing w:line="240" w:lineRule="auto"/>
              <w:ind w:firstLine="0" w:firstLineChars="0"/>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项目名称</w:t>
            </w:r>
          </w:p>
        </w:tc>
        <w:tc>
          <w:tcPr>
            <w:tcW w:w="327" w:type="pct"/>
            <w:vMerge w:val="restart"/>
            <w:shd w:val="clear" w:color="auto" w:fill="auto"/>
            <w:vAlign w:val="center"/>
          </w:tcPr>
          <w:p>
            <w:pPr>
              <w:widowControl/>
              <w:spacing w:line="240" w:lineRule="auto"/>
              <w:ind w:firstLine="0" w:firstLineChars="0"/>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主要内容</w:t>
            </w:r>
          </w:p>
        </w:tc>
        <w:tc>
          <w:tcPr>
            <w:tcW w:w="327" w:type="pct"/>
            <w:vMerge w:val="restart"/>
            <w:shd w:val="clear" w:color="auto" w:fill="auto"/>
            <w:vAlign w:val="center"/>
          </w:tcPr>
          <w:p>
            <w:pPr>
              <w:widowControl/>
              <w:spacing w:line="240" w:lineRule="auto"/>
              <w:ind w:firstLine="0" w:firstLineChars="0"/>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建设位置</w:t>
            </w:r>
          </w:p>
        </w:tc>
        <w:tc>
          <w:tcPr>
            <w:tcW w:w="327" w:type="pct"/>
            <w:vMerge w:val="restart"/>
            <w:shd w:val="clear" w:color="auto" w:fill="auto"/>
            <w:vAlign w:val="center"/>
          </w:tcPr>
          <w:p>
            <w:pPr>
              <w:widowControl/>
              <w:spacing w:line="240" w:lineRule="auto"/>
              <w:ind w:firstLine="0" w:firstLineChars="0"/>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责任部门</w:t>
            </w:r>
          </w:p>
        </w:tc>
        <w:tc>
          <w:tcPr>
            <w:tcW w:w="327" w:type="pct"/>
            <w:vMerge w:val="restart"/>
            <w:shd w:val="clear" w:color="auto" w:fill="auto"/>
            <w:vAlign w:val="center"/>
          </w:tcPr>
          <w:p>
            <w:pPr>
              <w:widowControl/>
              <w:spacing w:line="240" w:lineRule="auto"/>
              <w:ind w:firstLine="0" w:firstLineChars="0"/>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建设内容及规模</w:t>
            </w:r>
          </w:p>
        </w:tc>
        <w:tc>
          <w:tcPr>
            <w:tcW w:w="518" w:type="pct"/>
            <w:vMerge w:val="restart"/>
            <w:shd w:val="clear" w:color="auto" w:fill="auto"/>
            <w:vAlign w:val="center"/>
          </w:tcPr>
          <w:p>
            <w:pPr>
              <w:widowControl/>
              <w:spacing w:line="240" w:lineRule="auto"/>
              <w:ind w:firstLine="0" w:firstLineChars="0"/>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项目总投资（万元）</w:t>
            </w:r>
          </w:p>
        </w:tc>
        <w:tc>
          <w:tcPr>
            <w:tcW w:w="955" w:type="pct"/>
            <w:gridSpan w:val="2"/>
            <w:shd w:val="clear" w:color="auto" w:fill="auto"/>
            <w:vAlign w:val="center"/>
          </w:tcPr>
          <w:p>
            <w:pPr>
              <w:widowControl/>
              <w:spacing w:line="240" w:lineRule="auto"/>
              <w:ind w:firstLine="0" w:firstLineChars="0"/>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建设周期</w:t>
            </w:r>
          </w:p>
        </w:tc>
        <w:tc>
          <w:tcPr>
            <w:tcW w:w="327" w:type="pct"/>
            <w:vMerge w:val="restart"/>
            <w:shd w:val="clear" w:color="auto" w:fill="auto"/>
            <w:vAlign w:val="center"/>
          </w:tcPr>
          <w:p>
            <w:pPr>
              <w:widowControl/>
              <w:spacing w:line="240" w:lineRule="auto"/>
              <w:ind w:firstLine="0" w:firstLineChars="0"/>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27" w:type="pct"/>
            <w:vMerge w:val="continue"/>
            <w:vAlign w:val="center"/>
          </w:tcPr>
          <w:p>
            <w:pPr>
              <w:widowControl/>
              <w:spacing w:line="240" w:lineRule="auto"/>
              <w:ind w:firstLine="0" w:firstLineChars="0"/>
              <w:jc w:val="left"/>
              <w:rPr>
                <w:rFonts w:hint="eastAsia" w:ascii="等线" w:hAnsi="等线" w:eastAsia="等线" w:cs="宋体"/>
                <w:b/>
                <w:bCs/>
                <w:color w:val="000000"/>
                <w:kern w:val="0"/>
                <w:sz w:val="22"/>
                <w:szCs w:val="22"/>
              </w:rPr>
            </w:pPr>
          </w:p>
        </w:tc>
        <w:tc>
          <w:tcPr>
            <w:tcW w:w="327" w:type="pct"/>
            <w:vMerge w:val="continue"/>
            <w:vAlign w:val="center"/>
          </w:tcPr>
          <w:p>
            <w:pPr>
              <w:widowControl/>
              <w:spacing w:line="240" w:lineRule="auto"/>
              <w:ind w:firstLine="0" w:firstLineChars="0"/>
              <w:jc w:val="left"/>
              <w:rPr>
                <w:rFonts w:hint="eastAsia" w:ascii="等线" w:hAnsi="等线" w:eastAsia="等线" w:cs="宋体"/>
                <w:b/>
                <w:bCs/>
                <w:color w:val="000000"/>
                <w:kern w:val="0"/>
                <w:sz w:val="22"/>
                <w:szCs w:val="22"/>
              </w:rPr>
            </w:pPr>
          </w:p>
        </w:tc>
        <w:tc>
          <w:tcPr>
            <w:tcW w:w="907" w:type="pct"/>
            <w:vMerge w:val="continue"/>
            <w:vAlign w:val="center"/>
          </w:tcPr>
          <w:p>
            <w:pPr>
              <w:widowControl/>
              <w:spacing w:line="240" w:lineRule="auto"/>
              <w:ind w:firstLine="0" w:firstLineChars="0"/>
              <w:jc w:val="left"/>
              <w:rPr>
                <w:rFonts w:hint="eastAsia" w:ascii="等线" w:hAnsi="等线" w:eastAsia="等线" w:cs="宋体"/>
                <w:b/>
                <w:bCs/>
                <w:color w:val="000000"/>
                <w:kern w:val="0"/>
                <w:sz w:val="22"/>
                <w:szCs w:val="22"/>
              </w:rPr>
            </w:pPr>
          </w:p>
        </w:tc>
        <w:tc>
          <w:tcPr>
            <w:tcW w:w="327" w:type="pct"/>
            <w:vMerge w:val="continue"/>
            <w:vAlign w:val="center"/>
          </w:tcPr>
          <w:p>
            <w:pPr>
              <w:widowControl/>
              <w:spacing w:line="240" w:lineRule="auto"/>
              <w:ind w:firstLine="0" w:firstLineChars="0"/>
              <w:jc w:val="left"/>
              <w:rPr>
                <w:rFonts w:hint="eastAsia" w:ascii="等线" w:hAnsi="等线" w:eastAsia="等线" w:cs="宋体"/>
                <w:b/>
                <w:bCs/>
                <w:color w:val="000000"/>
                <w:kern w:val="0"/>
                <w:sz w:val="22"/>
                <w:szCs w:val="22"/>
              </w:rPr>
            </w:pPr>
          </w:p>
        </w:tc>
        <w:tc>
          <w:tcPr>
            <w:tcW w:w="327" w:type="pct"/>
            <w:vMerge w:val="continue"/>
            <w:vAlign w:val="center"/>
          </w:tcPr>
          <w:p>
            <w:pPr>
              <w:widowControl/>
              <w:spacing w:line="240" w:lineRule="auto"/>
              <w:ind w:firstLine="0" w:firstLineChars="0"/>
              <w:jc w:val="left"/>
              <w:rPr>
                <w:rFonts w:hint="eastAsia" w:ascii="等线" w:hAnsi="等线" w:eastAsia="等线" w:cs="宋体"/>
                <w:b/>
                <w:bCs/>
                <w:color w:val="000000"/>
                <w:kern w:val="0"/>
                <w:sz w:val="22"/>
                <w:szCs w:val="22"/>
              </w:rPr>
            </w:pPr>
          </w:p>
        </w:tc>
        <w:tc>
          <w:tcPr>
            <w:tcW w:w="327" w:type="pct"/>
            <w:vMerge w:val="continue"/>
            <w:vAlign w:val="center"/>
          </w:tcPr>
          <w:p>
            <w:pPr>
              <w:widowControl/>
              <w:spacing w:line="240" w:lineRule="auto"/>
              <w:ind w:firstLine="0" w:firstLineChars="0"/>
              <w:jc w:val="left"/>
              <w:rPr>
                <w:rFonts w:hint="eastAsia" w:ascii="等线" w:hAnsi="等线" w:eastAsia="等线" w:cs="宋体"/>
                <w:b/>
                <w:bCs/>
                <w:color w:val="000000"/>
                <w:kern w:val="0"/>
                <w:sz w:val="22"/>
                <w:szCs w:val="22"/>
              </w:rPr>
            </w:pPr>
          </w:p>
        </w:tc>
        <w:tc>
          <w:tcPr>
            <w:tcW w:w="327" w:type="pct"/>
            <w:vMerge w:val="continue"/>
            <w:vAlign w:val="center"/>
          </w:tcPr>
          <w:p>
            <w:pPr>
              <w:widowControl/>
              <w:spacing w:line="240" w:lineRule="auto"/>
              <w:ind w:firstLine="0" w:firstLineChars="0"/>
              <w:jc w:val="left"/>
              <w:rPr>
                <w:rFonts w:hint="eastAsia" w:ascii="等线" w:hAnsi="等线" w:eastAsia="等线" w:cs="宋体"/>
                <w:b/>
                <w:bCs/>
                <w:color w:val="000000"/>
                <w:kern w:val="0"/>
                <w:sz w:val="22"/>
                <w:szCs w:val="22"/>
              </w:rPr>
            </w:pPr>
          </w:p>
        </w:tc>
        <w:tc>
          <w:tcPr>
            <w:tcW w:w="327" w:type="pct"/>
            <w:vMerge w:val="continue"/>
            <w:vAlign w:val="center"/>
          </w:tcPr>
          <w:p>
            <w:pPr>
              <w:widowControl/>
              <w:spacing w:line="240" w:lineRule="auto"/>
              <w:ind w:firstLine="0" w:firstLineChars="0"/>
              <w:jc w:val="left"/>
              <w:rPr>
                <w:rFonts w:hint="eastAsia" w:ascii="等线" w:hAnsi="等线" w:eastAsia="等线" w:cs="宋体"/>
                <w:b/>
                <w:bCs/>
                <w:color w:val="000000"/>
                <w:kern w:val="0"/>
                <w:sz w:val="22"/>
                <w:szCs w:val="22"/>
              </w:rPr>
            </w:pPr>
          </w:p>
        </w:tc>
        <w:tc>
          <w:tcPr>
            <w:tcW w:w="518" w:type="pct"/>
            <w:vMerge w:val="continue"/>
            <w:vAlign w:val="center"/>
          </w:tcPr>
          <w:p>
            <w:pPr>
              <w:widowControl/>
              <w:spacing w:line="240" w:lineRule="auto"/>
              <w:ind w:firstLine="0" w:firstLineChars="0"/>
              <w:jc w:val="left"/>
              <w:rPr>
                <w:rFonts w:hint="eastAsia" w:ascii="等线" w:hAnsi="等线" w:eastAsia="等线" w:cs="宋体"/>
                <w:b/>
                <w:bCs/>
                <w:color w:val="000000"/>
                <w:kern w:val="0"/>
                <w:sz w:val="22"/>
                <w:szCs w:val="22"/>
              </w:rPr>
            </w:pPr>
          </w:p>
        </w:tc>
        <w:tc>
          <w:tcPr>
            <w:tcW w:w="450" w:type="pct"/>
            <w:shd w:val="clear" w:color="auto" w:fill="auto"/>
            <w:vAlign w:val="center"/>
          </w:tcPr>
          <w:p>
            <w:pPr>
              <w:widowControl/>
              <w:spacing w:line="240" w:lineRule="auto"/>
              <w:ind w:firstLine="0" w:firstLineChars="0"/>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（计划）</w:t>
            </w:r>
            <w:r>
              <w:rPr>
                <w:rFonts w:hint="eastAsia" w:ascii="等线" w:hAnsi="等线" w:eastAsia="等线" w:cs="宋体"/>
                <w:b/>
                <w:bCs/>
                <w:color w:val="000000"/>
                <w:kern w:val="0"/>
                <w:sz w:val="22"/>
                <w:szCs w:val="22"/>
              </w:rPr>
              <w:br w:type="textWrapping"/>
            </w:r>
            <w:r>
              <w:rPr>
                <w:rFonts w:hint="eastAsia" w:ascii="等线" w:hAnsi="等线" w:eastAsia="等线" w:cs="宋体"/>
                <w:b/>
                <w:bCs/>
                <w:color w:val="000000"/>
                <w:kern w:val="0"/>
                <w:sz w:val="22"/>
                <w:szCs w:val="22"/>
              </w:rPr>
              <w:t>开工时间</w:t>
            </w:r>
          </w:p>
        </w:tc>
        <w:tc>
          <w:tcPr>
            <w:tcW w:w="505" w:type="pct"/>
            <w:shd w:val="clear" w:color="auto" w:fill="auto"/>
            <w:vAlign w:val="center"/>
          </w:tcPr>
          <w:p>
            <w:pPr>
              <w:widowControl/>
              <w:spacing w:line="240" w:lineRule="auto"/>
              <w:ind w:firstLine="0" w:firstLineChars="0"/>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计划完工时间</w:t>
            </w:r>
          </w:p>
        </w:tc>
        <w:tc>
          <w:tcPr>
            <w:tcW w:w="327" w:type="pct"/>
            <w:vMerge w:val="continue"/>
            <w:vAlign w:val="center"/>
          </w:tcPr>
          <w:p>
            <w:pPr>
              <w:widowControl/>
              <w:spacing w:line="240" w:lineRule="auto"/>
              <w:ind w:firstLine="0" w:firstLineChars="0"/>
              <w:jc w:val="left"/>
              <w:rPr>
                <w:rFonts w:hint="eastAsia" w:ascii="等线" w:hAnsi="等线" w:eastAsia="等线"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327" w:type="pct"/>
            <w:vMerge w:val="restar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燃气</w:t>
            </w:r>
          </w:p>
        </w:tc>
        <w:tc>
          <w:tcPr>
            <w:tcW w:w="90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提升XX区域管网安全性</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项目1</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内容1</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8"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450"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05"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327" w:type="pct"/>
            <w:vMerge w:val="continue"/>
            <w:vAlign w:val="center"/>
          </w:tcPr>
          <w:p>
            <w:pPr>
              <w:widowControl/>
              <w:spacing w:line="240" w:lineRule="auto"/>
              <w:ind w:firstLine="0" w:firstLineChars="0"/>
              <w:jc w:val="left"/>
              <w:rPr>
                <w:rFonts w:hint="eastAsia" w:ascii="等线" w:hAnsi="等线" w:eastAsia="等线" w:cs="宋体"/>
                <w:color w:val="000000"/>
                <w:kern w:val="0"/>
                <w:sz w:val="22"/>
                <w:szCs w:val="22"/>
              </w:rPr>
            </w:pPr>
          </w:p>
        </w:tc>
        <w:tc>
          <w:tcPr>
            <w:tcW w:w="90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8"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450"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05"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327" w:type="pct"/>
            <w:vMerge w:val="restar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供水</w:t>
            </w:r>
          </w:p>
        </w:tc>
        <w:tc>
          <w:tcPr>
            <w:tcW w:w="90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降低XX片区漏损率至XX</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8"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450"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05"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327" w:type="pct"/>
            <w:vMerge w:val="continue"/>
            <w:vAlign w:val="center"/>
          </w:tcPr>
          <w:p>
            <w:pPr>
              <w:widowControl/>
              <w:spacing w:line="240" w:lineRule="auto"/>
              <w:ind w:firstLine="0" w:firstLineChars="0"/>
              <w:jc w:val="left"/>
              <w:rPr>
                <w:rFonts w:hint="eastAsia" w:ascii="等线" w:hAnsi="等线" w:eastAsia="等线" w:cs="宋体"/>
                <w:color w:val="000000"/>
                <w:kern w:val="0"/>
                <w:sz w:val="22"/>
                <w:szCs w:val="22"/>
              </w:rPr>
            </w:pPr>
          </w:p>
        </w:tc>
        <w:tc>
          <w:tcPr>
            <w:tcW w:w="90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8"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450"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05"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327" w:type="pct"/>
            <w:vMerge w:val="restar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排水</w:t>
            </w:r>
          </w:p>
        </w:tc>
        <w:tc>
          <w:tcPr>
            <w:tcW w:w="90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提升XX区域内涝防控能力</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8"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450"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05"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327" w:type="pct"/>
            <w:vMerge w:val="continue"/>
            <w:vAlign w:val="center"/>
          </w:tcPr>
          <w:p>
            <w:pPr>
              <w:widowControl/>
              <w:spacing w:line="240" w:lineRule="auto"/>
              <w:ind w:firstLine="0" w:firstLineChars="0"/>
              <w:jc w:val="left"/>
              <w:rPr>
                <w:rFonts w:hint="eastAsia" w:ascii="等线" w:hAnsi="等线" w:eastAsia="等线" w:cs="宋体"/>
                <w:color w:val="000000"/>
                <w:kern w:val="0"/>
                <w:sz w:val="22"/>
                <w:szCs w:val="22"/>
              </w:rPr>
            </w:pPr>
          </w:p>
        </w:tc>
        <w:tc>
          <w:tcPr>
            <w:tcW w:w="90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8"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450"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05"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327" w:type="pct"/>
            <w:vMerge w:val="restar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综合管廊</w:t>
            </w:r>
          </w:p>
        </w:tc>
        <w:tc>
          <w:tcPr>
            <w:tcW w:w="90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提升XX区域综合管廊风险防控能力</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8"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450"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05"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w:t>
            </w:r>
          </w:p>
        </w:tc>
        <w:tc>
          <w:tcPr>
            <w:tcW w:w="327" w:type="pct"/>
            <w:vMerge w:val="continue"/>
            <w:vAlign w:val="center"/>
          </w:tcPr>
          <w:p>
            <w:pPr>
              <w:widowControl/>
              <w:spacing w:line="240" w:lineRule="auto"/>
              <w:ind w:firstLine="0" w:firstLineChars="0"/>
              <w:jc w:val="left"/>
              <w:rPr>
                <w:rFonts w:hint="eastAsia" w:ascii="等线" w:hAnsi="等线" w:eastAsia="等线" w:cs="宋体"/>
                <w:color w:val="000000"/>
                <w:kern w:val="0"/>
                <w:sz w:val="22"/>
                <w:szCs w:val="22"/>
              </w:rPr>
            </w:pPr>
          </w:p>
        </w:tc>
        <w:tc>
          <w:tcPr>
            <w:tcW w:w="90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8"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450"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05"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w:t>
            </w:r>
          </w:p>
        </w:tc>
        <w:tc>
          <w:tcPr>
            <w:tcW w:w="327" w:type="pct"/>
            <w:vMerge w:val="restar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桥梁</w:t>
            </w:r>
          </w:p>
        </w:tc>
        <w:tc>
          <w:tcPr>
            <w:tcW w:w="90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提升XX区域桥梁安全运行监测管理能力</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8"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450"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05"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w:t>
            </w:r>
          </w:p>
        </w:tc>
        <w:tc>
          <w:tcPr>
            <w:tcW w:w="327" w:type="pct"/>
            <w:vMerge w:val="continue"/>
            <w:vAlign w:val="center"/>
          </w:tcPr>
          <w:p>
            <w:pPr>
              <w:widowControl/>
              <w:spacing w:line="240" w:lineRule="auto"/>
              <w:ind w:firstLine="0" w:firstLineChars="0"/>
              <w:jc w:val="left"/>
              <w:rPr>
                <w:rFonts w:hint="eastAsia" w:ascii="等线" w:hAnsi="等线" w:eastAsia="等线" w:cs="宋体"/>
                <w:color w:val="000000"/>
                <w:kern w:val="0"/>
                <w:sz w:val="22"/>
                <w:szCs w:val="22"/>
              </w:rPr>
            </w:pPr>
          </w:p>
        </w:tc>
        <w:tc>
          <w:tcPr>
            <w:tcW w:w="90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8"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450"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05"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11</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供热</w:t>
            </w:r>
          </w:p>
        </w:tc>
        <w:tc>
          <w:tcPr>
            <w:tcW w:w="90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8"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450"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05"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12</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90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8"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450"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05"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合计</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0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8"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450"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05"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27" w:type="pct"/>
            <w:shd w:val="clear" w:color="auto" w:fill="auto"/>
            <w:vAlign w:val="center"/>
          </w:tcPr>
          <w:p>
            <w:pPr>
              <w:widowControl/>
              <w:spacing w:line="240" w:lineRule="auto"/>
              <w:ind w:firstLine="0" w:firstLineChars="0"/>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bl>
    <w:p>
      <w:pPr>
        <w:sectPr>
          <w:pgSz w:w="16838" w:h="11906" w:orient="landscape"/>
          <w:pgMar w:top="1800" w:right="1440" w:bottom="1800" w:left="1440" w:header="851" w:footer="992" w:gutter="0"/>
          <w:cols w:space="425" w:num="1"/>
          <w:docGrid w:type="lines" w:linePitch="408" w:charSpace="0"/>
        </w:sectPr>
      </w:pPr>
    </w:p>
    <w:p>
      <w:pPr>
        <w:pStyle w:val="2"/>
        <w:spacing w:after="156"/>
      </w:pPr>
      <w:bookmarkStart w:id="39" w:name="_Toc182299737"/>
      <w:bookmarkStart w:id="40" w:name="_Toc184031827"/>
      <w:r>
        <w:rPr>
          <w:rFonts w:hint="eastAsia"/>
        </w:rPr>
        <w:t>城市地下管线综合规划编制要求</w:t>
      </w:r>
      <w:bookmarkEnd w:id="39"/>
      <w:bookmarkEnd w:id="40"/>
    </w:p>
    <w:p>
      <w:pPr>
        <w:spacing w:after="156"/>
      </w:pPr>
    </w:p>
    <w:p>
      <w:r>
        <w:t>加强城市地下各类管线规划统筹，各</w:t>
      </w:r>
      <w:r>
        <w:rPr>
          <w:rFonts w:hint="eastAsia"/>
        </w:rPr>
        <w:t>市州</w:t>
      </w:r>
      <w:r>
        <w:t>在地下市政基础设施普查</w:t>
      </w:r>
      <w:r>
        <w:rPr>
          <w:rFonts w:hint="eastAsia"/>
        </w:rPr>
        <w:t>及已编制的专项规划</w:t>
      </w:r>
      <w:r>
        <w:t>的基础上，开展地下空间资源调查与评估，依据城市国土空间规划组织编制地下管线综合规划，统筹城市发展需求，合理确定管线设施的空间位置、规模、走向等，编制地下管线综合规划，加强与城市道路、地下空间、人防建设、地铁建设等规划的衔接和协调。</w:t>
      </w:r>
    </w:p>
    <w:p>
      <w:pPr>
        <w:pStyle w:val="3"/>
      </w:pPr>
      <w:bookmarkStart w:id="41" w:name="_Toc184031828"/>
      <w:r>
        <w:rPr>
          <w:rFonts w:hint="eastAsia"/>
        </w:rPr>
        <w:t>编制目的</w:t>
      </w:r>
      <w:bookmarkEnd w:id="41"/>
    </w:p>
    <w:p>
      <w:r>
        <w:rPr>
          <w:rFonts w:hint="eastAsia"/>
        </w:rPr>
        <w:t>落实《湖南省城市</w:t>
      </w:r>
      <w:r>
        <w:t>基础设施生命线安全工程提升行动</w:t>
      </w:r>
      <w:r>
        <w:rPr>
          <w:rFonts w:hint="eastAsia"/>
        </w:rPr>
        <w:t>实施</w:t>
      </w:r>
      <w:r>
        <w:t>方案</w:t>
      </w:r>
      <w:r>
        <w:rPr>
          <w:rFonts w:hint="eastAsia"/>
        </w:rPr>
        <w:t>》（湘城建〔2024〕</w:t>
      </w:r>
      <w:r>
        <w:t>51</w:t>
      </w:r>
      <w:r>
        <w:rPr>
          <w:rFonts w:hint="eastAsia"/>
        </w:rPr>
        <w:t>号）文件要求，加强对全省城市地下管线规划建设工作的指导，为加强对全省城市地下管线规划建设工作的指导，规范城市地下管线综合规划的编制，协调地下各类管线布局，统筹协调各类地下管线布局以及各类地下管线与道路等相关工程设施之间的建设，提高城市地下管线规划管理工作的质量和水平。</w:t>
      </w:r>
    </w:p>
    <w:p>
      <w:pPr>
        <w:pStyle w:val="3"/>
      </w:pPr>
      <w:bookmarkStart w:id="42" w:name="_Toc184031829"/>
      <w:r>
        <w:rPr>
          <w:rFonts w:hint="eastAsia"/>
        </w:rPr>
        <w:t>规划</w:t>
      </w:r>
      <w:r>
        <w:t>定位</w:t>
      </w:r>
      <w:bookmarkEnd w:id="42"/>
    </w:p>
    <w:p>
      <w:r>
        <w:rPr>
          <w:rFonts w:hint="eastAsia"/>
        </w:rPr>
        <w:t>城市地下管线综合规划是城市国土空间规划指导下的专项规划，是编制详细规划和进行地下管线建设的依据。城市地下管线综合规划的编制，应依据城市国土空间规划，在各专业管线专项规划和地下市政基础设施普查基础上，对各类地下管线及其密切关联的附属设施进行综合协调，明确各类地下管线之间平面和竖向的空间布局要求。并且充分衔接城市道路、地下空间、人防建设、地铁建设等相关规划，整合城市</w:t>
      </w:r>
      <w:r>
        <w:t>道路</w:t>
      </w:r>
      <w:r>
        <w:rPr>
          <w:rFonts w:hint="eastAsia"/>
        </w:rPr>
        <w:t>、</w:t>
      </w:r>
      <w:r>
        <w:t>各类地下管线</w:t>
      </w:r>
      <w:r>
        <w:rPr>
          <w:rFonts w:hint="eastAsia"/>
        </w:rPr>
        <w:t>的建设需求形成联合建设任务。</w:t>
      </w:r>
    </w:p>
    <w:p>
      <w:pPr>
        <w:pStyle w:val="3"/>
      </w:pPr>
      <w:bookmarkStart w:id="43" w:name="_Toc184031830"/>
      <w:r>
        <w:rPr>
          <w:rFonts w:hint="eastAsia"/>
        </w:rPr>
        <w:t>编制依据</w:t>
      </w:r>
      <w:bookmarkEnd w:id="43"/>
    </w:p>
    <w:p>
      <w:r>
        <w:rPr>
          <w:rFonts w:hint="eastAsia"/>
        </w:rPr>
        <w:t>1．《中</w:t>
      </w:r>
      <w:r>
        <w:rPr>
          <w:rFonts w:hint="eastAsia"/>
          <w:lang w:val="en-US" w:eastAsia="zh-CN"/>
        </w:rPr>
        <w:t>华</w:t>
      </w:r>
      <w:r>
        <w:rPr>
          <w:rFonts w:hint="eastAsia"/>
        </w:rPr>
        <w:t>人民共和国土地管理法》；</w:t>
      </w:r>
    </w:p>
    <w:p>
      <w:r>
        <w:rPr>
          <w:rFonts w:hint="eastAsia"/>
        </w:rPr>
        <w:t>2．《中</w:t>
      </w:r>
      <w:r>
        <w:rPr>
          <w:rFonts w:hint="eastAsia"/>
          <w:lang w:val="en-US" w:eastAsia="zh-CN"/>
        </w:rPr>
        <w:t>华</w:t>
      </w:r>
      <w:r>
        <w:rPr>
          <w:rFonts w:hint="eastAsia"/>
        </w:rPr>
        <w:t>人民共和国城乡规划法》；</w:t>
      </w:r>
    </w:p>
    <w:p>
      <w:r>
        <w:rPr>
          <w:rFonts w:hint="eastAsia"/>
        </w:rPr>
        <w:t>3．《关于加强城市地下管线建设管理的指导意见》（国办发〔2014〕27号）；</w:t>
      </w:r>
    </w:p>
    <w:p>
      <w:r>
        <w:rPr>
          <w:rFonts w:hint="eastAsia"/>
        </w:rPr>
        <w:t>4．《湖南省城市基础设施生命线安全工程提升行动实施方案》（湘城建〔2024〕51号）；</w:t>
      </w:r>
    </w:p>
    <w:p>
      <w:r>
        <w:rPr>
          <w:rFonts w:hint="eastAsia"/>
        </w:rPr>
        <w:t>5．《关于印发城市地下管网管廊及设施建设改造实施方案编制指南的通知》（建办城〔2024〕44号）；</w:t>
      </w:r>
    </w:p>
    <w:p>
      <w:r>
        <w:rPr>
          <w:rFonts w:hint="eastAsia"/>
        </w:rPr>
        <w:t>6．《城市规划编制办法》（建设部令第146号）；</w:t>
      </w:r>
    </w:p>
    <w:p>
      <w:r>
        <w:rPr>
          <w:rFonts w:hint="eastAsia"/>
        </w:rPr>
        <w:t>7．《城市工程管线综合规划规范》（GB50289）；</w:t>
      </w:r>
    </w:p>
    <w:p>
      <w:r>
        <w:rPr>
          <w:rFonts w:hint="eastAsia"/>
        </w:rPr>
        <w:t>8．其他相关标准规范及规划。</w:t>
      </w:r>
    </w:p>
    <w:p>
      <w:pPr>
        <w:pStyle w:val="3"/>
      </w:pPr>
      <w:bookmarkStart w:id="44" w:name="_Toc184031831"/>
      <w:r>
        <w:rPr>
          <w:rFonts w:hint="eastAsia"/>
        </w:rPr>
        <w:t>规划期限</w:t>
      </w:r>
      <w:bookmarkEnd w:id="44"/>
    </w:p>
    <w:p>
      <w:r>
        <w:t>规划基准年为 20</w:t>
      </w:r>
      <w:r>
        <w:rPr>
          <w:rFonts w:hint="eastAsia"/>
        </w:rPr>
        <w:t>2</w:t>
      </w:r>
      <w:r>
        <w:rPr>
          <w:rFonts w:hint="eastAsia"/>
          <w:lang w:val="en-US" w:eastAsia="zh-CN"/>
        </w:rPr>
        <w:t>5</w:t>
      </w:r>
      <w:r>
        <w:t>年</w:t>
      </w:r>
      <w:r>
        <w:rPr>
          <w:rFonts w:hint="eastAsia"/>
        </w:rPr>
        <w:t>，</w:t>
      </w:r>
      <w:r>
        <w:t>规划</w:t>
      </w:r>
      <w:r>
        <w:rPr>
          <w:rFonts w:hint="eastAsia"/>
        </w:rPr>
        <w:t>目标年为2035年</w:t>
      </w:r>
      <w:r>
        <w:t>，近期建设规划期限为</w:t>
      </w:r>
      <w:r>
        <w:rPr>
          <w:rFonts w:hint="eastAsia"/>
        </w:rPr>
        <w:t>202</w:t>
      </w:r>
      <w:r>
        <w:rPr>
          <w:rFonts w:hint="eastAsia"/>
          <w:lang w:val="en-US" w:eastAsia="zh-CN"/>
        </w:rPr>
        <w:t>5</w:t>
      </w:r>
      <w:r>
        <w:rPr>
          <w:rFonts w:hint="eastAsia"/>
        </w:rPr>
        <w:t>~2028</w:t>
      </w:r>
      <w:r>
        <w:t>年</w:t>
      </w:r>
      <w:r>
        <w:rPr>
          <w:rFonts w:hint="eastAsia"/>
        </w:rPr>
        <w:t>，远期规划期限为2029~2035年</w:t>
      </w:r>
      <w:r>
        <w:t>。</w:t>
      </w:r>
    </w:p>
    <w:p>
      <w:pPr>
        <w:pStyle w:val="3"/>
      </w:pPr>
      <w:bookmarkStart w:id="45" w:name="_Toc184031832"/>
      <w:r>
        <w:rPr>
          <w:rFonts w:hint="eastAsia"/>
        </w:rPr>
        <w:t>规划对象</w:t>
      </w:r>
      <w:bookmarkEnd w:id="45"/>
    </w:p>
    <w:p>
      <w:r>
        <w:rPr>
          <w:rFonts w:hint="eastAsia"/>
        </w:rPr>
        <w:t>在开展城市地下管网管廊普查和排查工作（城市市政管网体检基础上），重点规划对象为市政公用管网管廊及设施，主要包括城市供水管网及设施、污水和再生水管网及设施、雨水管网及排涝设施、燃气管网及设施、热力管网及设施、电力管网及设施、通信管网及设施、地下综合管廊及附属设施等，并充分兼顾地下管网智慧化建设（含物联智能感知设备和信息化系统平台）。</w:t>
      </w:r>
    </w:p>
    <w:p>
      <w:pPr>
        <w:pStyle w:val="3"/>
      </w:pPr>
      <w:bookmarkStart w:id="46" w:name="_Toc184031833"/>
      <w:r>
        <w:rPr>
          <w:rFonts w:hint="eastAsia"/>
        </w:rPr>
        <w:t>规划内容</w:t>
      </w:r>
      <w:bookmarkEnd w:id="46"/>
    </w:p>
    <w:p>
      <w:r>
        <w:rPr>
          <w:rFonts w:hint="eastAsia"/>
        </w:rPr>
        <w:t>规划内容：①现状管线评估：针对现状管线建设水平进行评估，提出管线规划建设管理中存在问题；②平面综合及市政管线廊道控制：在布局上统筹各专业管线主干管线路由，预控城市市政管线廊道，并提出管线布置平面综合的一般要求；③竖向控制：依据地下管线建设空间，协调地下管线与轨道交通等其他地下空间设施的关系，提出主、次干路地下空间的控制要求；④综合管廊布局：以管线综合规划成果衔接综合管廊专项规划，提出优化布局方案；⑤对专项规划的优化调整：综合市政管线廊道布局和地下空间协调，对专项规划干管路由提出优化调整建议；⑥规划实施保障：明确传统管线和综合管廊布置的典型断面布置指引，加强市政管线廊道的规划管控，建立地下管线智慧化系统平台。</w:t>
      </w:r>
    </w:p>
    <w:p>
      <w:pPr>
        <w:pStyle w:val="3"/>
        <w:numPr>
          <w:ilvl w:val="255"/>
          <w:numId w:val="0"/>
        </w:numPr>
      </w:pPr>
      <w:bookmarkStart w:id="47" w:name="_Toc184031834"/>
      <w:r>
        <w:rPr>
          <w:rFonts w:hint="eastAsia"/>
        </w:rPr>
        <w:t>5.6 规划深度</w:t>
      </w:r>
      <w:bookmarkEnd w:id="47"/>
    </w:p>
    <w:p>
      <w:r>
        <w:rPr>
          <w:rFonts w:hint="eastAsia"/>
        </w:rPr>
        <w:t>应依据城市规模合理确定城市地下管线综合规划深度，原则上地市级城市规划深度应至主、次干路等级。地市级城市可在充分统筹协调的基础上，</w:t>
      </w:r>
      <w:r>
        <w:t>按</w:t>
      </w:r>
      <w:r>
        <w:rPr>
          <w:rFonts w:hint="eastAsia"/>
        </w:rPr>
        <w:t>分区模式编制城市地下管线综合规划</w:t>
      </w:r>
      <w:r>
        <w:t>。明确各类地下管线的规模布局、铺设方式、空间关系、建设时序。</w:t>
      </w:r>
    </w:p>
    <w:p>
      <w:pPr>
        <w:pStyle w:val="3"/>
        <w:numPr>
          <w:ilvl w:val="255"/>
          <w:numId w:val="0"/>
        </w:numPr>
      </w:pPr>
      <w:bookmarkStart w:id="48" w:name="_Toc184031835"/>
      <w:r>
        <w:rPr>
          <w:rFonts w:hint="eastAsia"/>
        </w:rPr>
        <w:t>5.7 工作</w:t>
      </w:r>
      <w:r>
        <w:t>标准</w:t>
      </w:r>
      <w:bookmarkEnd w:id="48"/>
    </w:p>
    <w:p>
      <w:pPr>
        <w:ind w:firstLine="602"/>
      </w:pPr>
      <w:r>
        <w:rPr>
          <w:rFonts w:hint="eastAsia"/>
          <w:b/>
          <w:bCs/>
        </w:rPr>
        <w:t>1、落实“</w:t>
      </w:r>
      <w:r>
        <w:rPr>
          <w:b/>
          <w:bCs/>
        </w:rPr>
        <w:t>综合改一次</w:t>
      </w:r>
      <w:r>
        <w:rPr>
          <w:rFonts w:hint="eastAsia"/>
          <w:b/>
          <w:bCs/>
        </w:rPr>
        <w:t>”建设要求。</w:t>
      </w:r>
      <w:r>
        <w:rPr>
          <w:rFonts w:hint="eastAsia"/>
        </w:rPr>
        <w:t>“</w:t>
      </w:r>
      <w:r>
        <w:t>综合改一次</w:t>
      </w:r>
      <w:r>
        <w:rPr>
          <w:rFonts w:hint="eastAsia"/>
        </w:rPr>
        <w:t>”是</w:t>
      </w:r>
      <w:r>
        <w:t>我省集约</w:t>
      </w:r>
      <w:r>
        <w:rPr>
          <w:rFonts w:hint="eastAsia"/>
        </w:rPr>
        <w:t>统筹</w:t>
      </w:r>
      <w:r>
        <w:t>城市</w:t>
      </w:r>
      <w:r>
        <w:rPr>
          <w:rFonts w:hint="eastAsia"/>
        </w:rPr>
        <w:t>各类地下</w:t>
      </w:r>
      <w:r>
        <w:t>管线</w:t>
      </w:r>
      <w:r>
        <w:rPr>
          <w:rFonts w:hint="eastAsia"/>
        </w:rPr>
        <w:t>和道路建设，着力破除“马路拉链”的</w:t>
      </w:r>
      <w:r>
        <w:t>重要</w:t>
      </w:r>
      <w:r>
        <w:rPr>
          <w:rFonts w:hint="eastAsia"/>
        </w:rPr>
        <w:t>要求。在城市道路建设改造和任一地下管线工程建设改造时，建设行政主管部门应统筹同一</w:t>
      </w:r>
      <w:r>
        <w:t>地下空间的</w:t>
      </w:r>
      <w:r>
        <w:rPr>
          <w:rFonts w:hint="eastAsia"/>
        </w:rPr>
        <w:t>燃气</w:t>
      </w:r>
      <w:r>
        <w:t>、</w:t>
      </w:r>
      <w:r>
        <w:rPr>
          <w:rFonts w:hint="eastAsia"/>
        </w:rPr>
        <w:t>供水、</w:t>
      </w:r>
      <w:r>
        <w:t>排水、</w:t>
      </w:r>
      <w:r>
        <w:rPr>
          <w:rFonts w:hint="eastAsia"/>
        </w:rPr>
        <w:t>照明</w:t>
      </w:r>
      <w:r>
        <w:t>、通信</w:t>
      </w:r>
      <w:r>
        <w:rPr>
          <w:rFonts w:hint="eastAsia"/>
        </w:rPr>
        <w:t>、电力等需求，将近期有建设</w:t>
      </w:r>
      <w:r>
        <w:t>改造</w:t>
      </w:r>
      <w:r>
        <w:rPr>
          <w:rFonts w:hint="eastAsia"/>
        </w:rPr>
        <w:t>计划或列入</w:t>
      </w:r>
      <w:r>
        <w:t>城市风险清单</w:t>
      </w:r>
      <w:r>
        <w:rPr>
          <w:rFonts w:hint="eastAsia"/>
        </w:rPr>
        <w:t>存在安全</w:t>
      </w:r>
      <w:r>
        <w:t>隐患的</w:t>
      </w:r>
      <w:r>
        <w:rPr>
          <w:rFonts w:hint="eastAsia"/>
        </w:rPr>
        <w:t>地下</w:t>
      </w:r>
      <w:r>
        <w:t>管线</w:t>
      </w:r>
      <w:r>
        <w:rPr>
          <w:rFonts w:hint="eastAsia"/>
        </w:rPr>
        <w:t>及其</w:t>
      </w:r>
      <w:r>
        <w:t>配套设施</w:t>
      </w:r>
      <w:r>
        <w:rPr>
          <w:rFonts w:hint="eastAsia"/>
        </w:rPr>
        <w:t>（含地上杆件“多杆合一”集约设置）一并更新、一次敷设到位。其中同一地下</w:t>
      </w:r>
      <w:r>
        <w:t>空间</w:t>
      </w:r>
      <w:r>
        <w:rPr>
          <w:rFonts w:hint="eastAsia"/>
        </w:rPr>
        <w:t>的燃气</w:t>
      </w:r>
      <w:r>
        <w:t>、</w:t>
      </w:r>
      <w:r>
        <w:rPr>
          <w:rFonts w:hint="eastAsia"/>
        </w:rPr>
        <w:t>供水、</w:t>
      </w:r>
      <w:r>
        <w:t>排水、</w:t>
      </w:r>
      <w:r>
        <w:rPr>
          <w:rFonts w:hint="eastAsia"/>
        </w:rPr>
        <w:t>照明</w:t>
      </w:r>
      <w:r>
        <w:t>、通信</w:t>
      </w:r>
      <w:r>
        <w:rPr>
          <w:rFonts w:hint="eastAsia"/>
        </w:rPr>
        <w:t>、供电地下</w:t>
      </w:r>
      <w:r>
        <w:t>管线</w:t>
      </w:r>
      <w:r>
        <w:rPr>
          <w:rFonts w:hint="eastAsia"/>
        </w:rPr>
        <w:t>近三年</w:t>
      </w:r>
      <w:r>
        <w:t>内</w:t>
      </w:r>
      <w:r>
        <w:rPr>
          <w:rFonts w:hint="eastAsia"/>
        </w:rPr>
        <w:t>有</w:t>
      </w:r>
      <w:r>
        <w:t>明确</w:t>
      </w:r>
      <w:r>
        <w:rPr>
          <w:rFonts w:hint="eastAsia"/>
        </w:rPr>
        <w:t>建设</w:t>
      </w:r>
      <w:r>
        <w:t>改造</w:t>
      </w:r>
      <w:r>
        <w:rPr>
          <w:rFonts w:hint="eastAsia"/>
        </w:rPr>
        <w:t>计划</w:t>
      </w:r>
      <w:r>
        <w:t>的应</w:t>
      </w:r>
      <w:r>
        <w:rPr>
          <w:rFonts w:hint="eastAsia"/>
        </w:rPr>
        <w:t>同时应改</w:t>
      </w:r>
      <w:r>
        <w:t>尽</w:t>
      </w:r>
      <w:r>
        <w:rPr>
          <w:rFonts w:hint="eastAsia"/>
        </w:rPr>
        <w:t>改。原则上新建和改扩建的城市道路交付使用5年内、大修的城市道路竣工后3年内不得挖掘。</w:t>
      </w:r>
    </w:p>
    <w:p>
      <w:pPr>
        <w:ind w:firstLine="602"/>
      </w:pPr>
      <w:r>
        <w:rPr>
          <w:rFonts w:hint="eastAsia"/>
          <w:b/>
          <w:bCs/>
        </w:rPr>
        <w:t>2、结合风险评估成果。</w:t>
      </w:r>
      <w:r>
        <w:rPr>
          <w:rFonts w:hint="eastAsia"/>
        </w:rPr>
        <w:t>根据地方城市实际情况，结合城市基础设施普查、自然灾害综合风险普查工作成果，城市风险评估清单，进一步提出城市地下管线综合规划内容与工作要求。</w:t>
      </w:r>
    </w:p>
    <w:p>
      <w:pPr>
        <w:spacing w:after="156"/>
        <w:ind w:firstLine="602"/>
      </w:pPr>
      <w:r>
        <w:rPr>
          <w:rFonts w:hint="eastAsia"/>
          <w:b/>
          <w:bCs/>
        </w:rPr>
        <w:t>3、符合国家各项规范和标准。</w:t>
      </w:r>
      <w:r>
        <w:rPr>
          <w:rFonts w:hint="eastAsia"/>
        </w:rPr>
        <w:t>城市地下管线综合规划的编制，除应执行本大纲外，尚应符合国家现行有关规范和标准的规定。</w:t>
      </w:r>
    </w:p>
    <w:p>
      <w:pPr>
        <w:spacing w:after="156"/>
      </w:pPr>
    </w:p>
    <w:p>
      <w:pPr>
        <w:spacing w:after="156"/>
      </w:pPr>
    </w:p>
    <w:p>
      <w:pPr>
        <w:pStyle w:val="2"/>
        <w:spacing w:after="156"/>
      </w:pPr>
      <w:bookmarkStart w:id="49" w:name="_Toc184031836"/>
      <w:bookmarkStart w:id="50" w:name="_Toc182299749"/>
      <w:r>
        <w:rPr>
          <w:rFonts w:hint="eastAsia"/>
        </w:rPr>
        <w:t>落实“综合改一次”建设要求</w:t>
      </w:r>
      <w:bookmarkEnd w:id="49"/>
      <w:bookmarkEnd w:id="50"/>
    </w:p>
    <w:p>
      <w:pPr>
        <w:spacing w:after="156"/>
      </w:pPr>
    </w:p>
    <w:p>
      <w:pPr>
        <w:spacing w:after="156"/>
      </w:pPr>
      <w:r>
        <w:t>各</w:t>
      </w:r>
      <w:r>
        <w:rPr>
          <w:rFonts w:hint="eastAsia"/>
        </w:rPr>
        <w:t>市州</w:t>
      </w:r>
      <w:r>
        <w:t>城市道路建设改造和地下管线工程建设改造均应统筹燃气、排水、供水、供电、照明、通信等需求，力争地下管线一次敷设到位，地上杆件一次“多杆合一”集约设置到位，并考虑中长期使用，适当预留管线位置。将城市地下管线“综合改一次”要求纳入施工图审查要点，新、改扩建道路项目和地下管线工程要实现“六个同步”，强化工程质量全过程、全链条、全要素的监管，特别是用户接入端要设置标准化接口</w:t>
      </w:r>
      <w:r>
        <w:rPr>
          <w:rFonts w:hint="eastAsia"/>
        </w:rPr>
        <w:t>。</w:t>
      </w:r>
    </w:p>
    <w:p>
      <w:pPr>
        <w:spacing w:after="156"/>
      </w:pPr>
      <w:r>
        <w:rPr>
          <w:rFonts w:hint="eastAsia"/>
        </w:rPr>
        <w:t>落实“综合改一次”建设，要求城市地下管线工程项目所覆盖路段需包含多类管线同步实施，各市州需通过“综合改一次”管理系统，及时将“综合改一次”相关数据报送省级“综合改一次”监管系统，并保持动态更新，确保高质量完成各年度“综合改一次”任务目标。</w:t>
      </w:r>
    </w:p>
    <w:p>
      <w:pPr>
        <w:spacing w:after="156"/>
      </w:pPr>
      <w:r>
        <w:rPr>
          <w:rFonts w:hint="eastAsia"/>
        </w:rPr>
        <w:t>“综合改一次”具体落实举措包括以下三个方面。</w:t>
      </w:r>
    </w:p>
    <w:p>
      <w:pPr>
        <w:spacing w:after="156"/>
        <w:ind w:firstLine="602"/>
      </w:pPr>
      <w:r>
        <w:rPr>
          <w:b/>
          <w:bCs/>
        </w:rPr>
        <w:t>一是</w:t>
      </w:r>
      <w:r>
        <w:rPr>
          <w:rFonts w:hint="eastAsia"/>
          <w:b/>
          <w:bCs/>
        </w:rPr>
        <w:t>完善制度保障。</w:t>
      </w:r>
      <w:r>
        <w:rPr>
          <w:rFonts w:hint="eastAsia"/>
        </w:rPr>
        <w:t>进一步明确地下管线综合管理部门，厘清相关部门职能职责边界，构建城市道路与管线统建统管、协调联动的机制体制。</w:t>
      </w:r>
    </w:p>
    <w:p>
      <w:pPr>
        <w:spacing w:after="156"/>
        <w:ind w:firstLine="602"/>
      </w:pPr>
      <w:r>
        <w:rPr>
          <w:rFonts w:hint="eastAsia"/>
          <w:b/>
          <w:bCs/>
        </w:rPr>
        <w:t>二是加强建设统筹。</w:t>
      </w:r>
      <w:r>
        <w:rPr>
          <w:rFonts w:hint="eastAsia"/>
        </w:rPr>
        <w:t>城市道路与附着在道路下各类管线应做到统一规划、统一策划、统一设计、统一施工、统一验收、统一管理“六个统一”，不“各建各的，各改各的”，不能降低建设标准和技术要求。城市基础设施生命线安全工程项目申请破路许可，需经市政设施主管部门和公安机关交通管理部门审批，并同步征求项目用地红线内所涉及到的所有管线部门（单位）的意见，建立建设单位与管线权属单位协调联动机制，汇总挖掘信息，合并挖掘工程，统筹实施城市道路占挖工作，按照“需改尽改”的原则将需要建设的地下管线一次性建设改造到位，落实“综合改一次”的要求，明确新建、改建、扩建的城市道路交付使用后5年内，大修的城市道路竣工后3年内不得挖掘，杜绝“拉链马路”。</w:t>
      </w:r>
    </w:p>
    <w:p>
      <w:pPr>
        <w:spacing w:after="156"/>
        <w:ind w:firstLine="602"/>
      </w:pPr>
      <w:r>
        <w:rPr>
          <w:rFonts w:hint="eastAsia"/>
          <w:b/>
          <w:bCs/>
        </w:rPr>
        <w:t>三是建立数据归档和动态更新机制。</w:t>
      </w:r>
      <w:r>
        <w:rPr>
          <w:rFonts w:hint="eastAsia"/>
        </w:rPr>
        <w:t>建立“综合改一次”管理系统，实现“综合改一次”数据的电子化填报归档管理，并合理构建数据更新机制，实现“综合改一次”数据的动态更新，保障数据的时效性、可用性、准确性。</w:t>
      </w:r>
    </w:p>
    <w:p>
      <w:pPr>
        <w:spacing w:after="156"/>
      </w:pPr>
    </w:p>
    <w:p>
      <w:pPr>
        <w:pStyle w:val="2"/>
        <w:spacing w:after="156"/>
      </w:pPr>
      <w:bookmarkStart w:id="51" w:name="_Toc184031837"/>
      <w:bookmarkStart w:id="52" w:name="_Toc182299750"/>
      <w:r>
        <w:rPr>
          <w:rFonts w:hint="eastAsia"/>
        </w:rPr>
        <w:t>监测感知网搭建要求</w:t>
      </w:r>
      <w:bookmarkEnd w:id="51"/>
      <w:bookmarkEnd w:id="52"/>
    </w:p>
    <w:p>
      <w:pPr>
        <w:spacing w:after="156"/>
      </w:pPr>
    </w:p>
    <w:p>
      <w:pPr>
        <w:spacing w:after="156"/>
      </w:pPr>
      <w:r>
        <w:rPr>
          <w:rFonts w:hint="eastAsia"/>
        </w:rPr>
        <w:t>从城市整体安全运行要求出发，根据“风险评估结果”，各市建设城市基础设施生命线安全工程监测中心和网络，覆盖燃气、供水、排水（包括雨水和污水）、桥梁、综合管廊等重点领域，实现与省级监管中心数据实时共享，打造城市基础设施生命线安全工程“1+14+N”运行体系，形成全省城市基础设施生命线安全工程监测网。</w:t>
      </w:r>
    </w:p>
    <w:p>
      <w:pPr>
        <w:pStyle w:val="3"/>
        <w:spacing w:after="156"/>
      </w:pPr>
      <w:bookmarkStart w:id="53" w:name="_Toc182299751"/>
      <w:bookmarkStart w:id="54" w:name="_Toc184031838"/>
      <w:r>
        <w:rPr>
          <w:rFonts w:hint="eastAsia"/>
        </w:rPr>
        <w:t>燃气管网及相邻空间感知网络建设要求</w:t>
      </w:r>
      <w:bookmarkEnd w:id="53"/>
      <w:bookmarkEnd w:id="54"/>
    </w:p>
    <w:p>
      <w:pPr>
        <w:spacing w:after="156"/>
        <w:rPr>
          <w:sz w:val="24"/>
        </w:rPr>
      </w:pPr>
      <w:r>
        <w:rPr>
          <w:rFonts w:hint="eastAsia"/>
        </w:rPr>
        <w:t>燃气安全运行监测对象包含城市燃气管网及其相邻地下空间、燃气场站的附属设施，实现对燃气管网的压力、流量，燃气阀门井内甲烷气体浓度，相邻地下空间内甲烷气体浓度，燃气场站内浓度、视频监控等指标进行监测。</w:t>
      </w:r>
    </w:p>
    <w:p>
      <w:pPr>
        <w:spacing w:after="156"/>
      </w:pPr>
      <w:r>
        <w:rPr>
          <w:rFonts w:hint="eastAsia"/>
        </w:rPr>
        <w:t>燃气监测感知设备监测对象及主要指标如下表。</w:t>
      </w:r>
    </w:p>
    <w:p>
      <w:pPr>
        <w:pStyle w:val="11"/>
        <w:spacing w:after="156"/>
      </w:pPr>
      <w:r>
        <w:rPr>
          <w:rFonts w:hint="eastAsia"/>
        </w:rPr>
        <w:t>表</w:t>
      </w:r>
      <w:r>
        <w:fldChar w:fldCharType="begin"/>
      </w:r>
      <w:r>
        <w:instrText xml:space="preserve"> </w:instrText>
      </w:r>
      <w:r>
        <w:rPr>
          <w:rFonts w:hint="eastAsia"/>
        </w:rPr>
        <w:instrText xml:space="preserve">STYLEREF 2 \s</w:instrText>
      </w:r>
      <w:r>
        <w:instrText xml:space="preserve"> </w:instrText>
      </w:r>
      <w:r>
        <w:fldChar w:fldCharType="separate"/>
      </w:r>
      <w:r>
        <w:t>7.1</w:t>
      </w:r>
      <w:r>
        <w:fldChar w:fldCharType="end"/>
      </w:r>
      <w:r>
        <w:noBreakHyphen/>
      </w:r>
      <w:bookmarkStart w:id="55" w:name="_Hlk163820354"/>
      <w:r>
        <w:rPr>
          <w:rFonts w:hint="eastAsia"/>
        </w:rPr>
        <w:t>1监测对象及主要指标表</w:t>
      </w:r>
    </w:p>
    <w:bookmarkEnd w:id="55"/>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31"/>
        <w:gridCol w:w="1565"/>
        <w:gridCol w:w="412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pct"/>
            <w:vAlign w:val="center"/>
          </w:tcPr>
          <w:p>
            <w:pPr>
              <w:spacing w:after="156" w:line="240" w:lineRule="auto"/>
              <w:ind w:firstLine="0" w:firstLineChars="0"/>
              <w:jc w:val="center"/>
              <w:rPr>
                <w:sz w:val="21"/>
                <w:szCs w:val="21"/>
                <w:lang w:eastAsia="en-US"/>
              </w:rPr>
            </w:pPr>
            <w:bookmarkStart w:id="56" w:name="_Hlk163820341"/>
            <w:r>
              <w:rPr>
                <w:rFonts w:hint="eastAsia"/>
                <w:sz w:val="21"/>
                <w:szCs w:val="21"/>
              </w:rPr>
              <w:t>监测对象</w:t>
            </w:r>
          </w:p>
        </w:tc>
        <w:tc>
          <w:tcPr>
            <w:tcW w:w="941" w:type="pct"/>
            <w:vAlign w:val="center"/>
          </w:tcPr>
          <w:p>
            <w:pPr>
              <w:spacing w:after="156" w:line="240" w:lineRule="auto"/>
              <w:ind w:firstLine="0" w:firstLineChars="0"/>
              <w:jc w:val="center"/>
              <w:rPr>
                <w:sz w:val="21"/>
                <w:szCs w:val="21"/>
                <w:lang w:eastAsia="en-US"/>
              </w:rPr>
            </w:pPr>
            <w:r>
              <w:rPr>
                <w:rFonts w:hint="eastAsia"/>
                <w:sz w:val="21"/>
                <w:szCs w:val="21"/>
              </w:rPr>
              <w:t>监测指标</w:t>
            </w:r>
          </w:p>
        </w:tc>
        <w:tc>
          <w:tcPr>
            <w:tcW w:w="2477" w:type="pct"/>
            <w:vAlign w:val="center"/>
          </w:tcPr>
          <w:p>
            <w:pPr>
              <w:spacing w:after="156" w:line="240" w:lineRule="auto"/>
              <w:ind w:firstLine="0" w:firstLineChars="0"/>
              <w:jc w:val="center"/>
              <w:rPr>
                <w:sz w:val="21"/>
                <w:szCs w:val="21"/>
                <w:lang w:eastAsia="en-US"/>
              </w:rPr>
            </w:pPr>
            <w:r>
              <w:rPr>
                <w:rFonts w:hint="eastAsia"/>
                <w:sz w:val="21"/>
                <w:szCs w:val="21"/>
              </w:rPr>
              <w:t>监测设备技术要求</w:t>
            </w:r>
          </w:p>
        </w:tc>
        <w:tc>
          <w:tcPr>
            <w:tcW w:w="902" w:type="pct"/>
            <w:vAlign w:val="center"/>
          </w:tcPr>
          <w:p>
            <w:pPr>
              <w:spacing w:after="156" w:line="240" w:lineRule="auto"/>
              <w:ind w:firstLine="0" w:firstLineChars="0"/>
              <w:jc w:val="center"/>
              <w:rPr>
                <w:sz w:val="21"/>
                <w:szCs w:val="21"/>
              </w:rPr>
            </w:pPr>
            <w:r>
              <w:rPr>
                <w:rFonts w:hint="eastAsia"/>
                <w:sz w:val="21"/>
                <w:szCs w:val="21"/>
              </w:rPr>
              <w:t>建设优先级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trPr>
        <w:tc>
          <w:tcPr>
            <w:tcW w:w="680" w:type="pct"/>
            <w:vMerge w:val="restart"/>
            <w:vAlign w:val="center"/>
          </w:tcPr>
          <w:p>
            <w:pPr>
              <w:spacing w:after="156" w:line="240" w:lineRule="auto"/>
              <w:ind w:firstLine="0" w:firstLineChars="0"/>
              <w:rPr>
                <w:sz w:val="21"/>
                <w:szCs w:val="21"/>
              </w:rPr>
            </w:pPr>
            <w:r>
              <w:rPr>
                <w:rFonts w:hint="eastAsia"/>
                <w:sz w:val="21"/>
                <w:szCs w:val="21"/>
              </w:rPr>
              <w:t>燃气管线</w:t>
            </w:r>
          </w:p>
        </w:tc>
        <w:tc>
          <w:tcPr>
            <w:tcW w:w="941" w:type="pct"/>
            <w:vAlign w:val="center"/>
          </w:tcPr>
          <w:p>
            <w:pPr>
              <w:spacing w:after="156" w:line="240" w:lineRule="auto"/>
              <w:ind w:firstLine="0" w:firstLineChars="0"/>
              <w:rPr>
                <w:sz w:val="21"/>
                <w:szCs w:val="21"/>
              </w:rPr>
            </w:pPr>
            <w:r>
              <w:rPr>
                <w:rFonts w:hint="eastAsia"/>
                <w:sz w:val="21"/>
                <w:szCs w:val="21"/>
              </w:rPr>
              <w:t>压力</w:t>
            </w:r>
          </w:p>
        </w:tc>
        <w:tc>
          <w:tcPr>
            <w:tcW w:w="2477" w:type="pct"/>
            <w:vAlign w:val="center"/>
          </w:tcPr>
          <w:p>
            <w:pPr>
              <w:spacing w:after="156" w:line="240" w:lineRule="auto"/>
              <w:ind w:firstLine="0" w:firstLineChars="0"/>
              <w:rPr>
                <w:sz w:val="21"/>
                <w:szCs w:val="21"/>
              </w:rPr>
            </w:pPr>
            <w:r>
              <w:rPr>
                <w:rFonts w:hint="eastAsia"/>
                <w:sz w:val="21"/>
                <w:szCs w:val="21"/>
              </w:rPr>
              <w:t>精度：±1.5%FS</w:t>
            </w:r>
          </w:p>
          <w:p>
            <w:pPr>
              <w:spacing w:after="156" w:line="240" w:lineRule="auto"/>
              <w:ind w:firstLine="0" w:firstLineChars="0"/>
              <w:rPr>
                <w:sz w:val="21"/>
                <w:szCs w:val="21"/>
              </w:rPr>
            </w:pPr>
            <w:r>
              <w:rPr>
                <w:rFonts w:hint="eastAsia"/>
                <w:sz w:val="21"/>
                <w:szCs w:val="21"/>
              </w:rPr>
              <w:t>环境适用性：应具防爆、防腐、防水等抗恶劣环境性能</w:t>
            </w:r>
          </w:p>
        </w:tc>
        <w:tc>
          <w:tcPr>
            <w:tcW w:w="902" w:type="pct"/>
            <w:vAlign w:val="center"/>
          </w:tcPr>
          <w:p>
            <w:pPr>
              <w:spacing w:after="156" w:line="240" w:lineRule="auto"/>
              <w:ind w:firstLine="0" w:firstLineChars="0"/>
              <w:jc w:val="center"/>
              <w:rPr>
                <w:sz w:val="21"/>
                <w:szCs w:val="21"/>
              </w:rPr>
            </w:pPr>
            <w:r>
              <w:rPr>
                <w:rFonts w:hint="eastAsia" w:ascii="仿宋" w:hAnsi="仿宋"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trPr>
        <w:tc>
          <w:tcPr>
            <w:tcW w:w="680" w:type="pct"/>
            <w:vMerge w:val="continue"/>
            <w:vAlign w:val="center"/>
          </w:tcPr>
          <w:p>
            <w:pPr>
              <w:spacing w:after="156" w:line="240" w:lineRule="auto"/>
              <w:ind w:firstLine="0" w:firstLineChars="0"/>
              <w:rPr>
                <w:sz w:val="21"/>
                <w:szCs w:val="21"/>
              </w:rPr>
            </w:pPr>
          </w:p>
        </w:tc>
        <w:tc>
          <w:tcPr>
            <w:tcW w:w="941" w:type="pct"/>
            <w:vAlign w:val="center"/>
          </w:tcPr>
          <w:p>
            <w:pPr>
              <w:spacing w:after="156" w:line="240" w:lineRule="auto"/>
              <w:ind w:firstLine="0" w:firstLineChars="0"/>
              <w:rPr>
                <w:sz w:val="21"/>
                <w:szCs w:val="21"/>
              </w:rPr>
            </w:pPr>
            <w:r>
              <w:rPr>
                <w:rFonts w:hint="eastAsia"/>
                <w:sz w:val="21"/>
                <w:szCs w:val="21"/>
              </w:rPr>
              <w:t>流量</w:t>
            </w:r>
          </w:p>
        </w:tc>
        <w:tc>
          <w:tcPr>
            <w:tcW w:w="2477" w:type="pct"/>
            <w:vAlign w:val="center"/>
          </w:tcPr>
          <w:p>
            <w:pPr>
              <w:spacing w:after="156" w:line="240" w:lineRule="auto"/>
              <w:ind w:firstLine="0" w:firstLineChars="0"/>
              <w:rPr>
                <w:sz w:val="21"/>
                <w:szCs w:val="21"/>
              </w:rPr>
            </w:pPr>
            <w:r>
              <w:rPr>
                <w:rFonts w:hint="eastAsia"/>
                <w:sz w:val="21"/>
                <w:szCs w:val="21"/>
              </w:rPr>
              <w:t>精度：不低于10m</w:t>
            </w:r>
            <w:r>
              <w:rPr>
                <w:rFonts w:cs="Calibri"/>
                <w:sz w:val="21"/>
                <w:szCs w:val="21"/>
              </w:rPr>
              <w:t>³</w:t>
            </w:r>
            <w:r>
              <w:rPr>
                <w:rFonts w:hint="eastAsia"/>
                <w:sz w:val="21"/>
                <w:szCs w:val="21"/>
              </w:rPr>
              <w:t>/h</w:t>
            </w:r>
          </w:p>
          <w:p>
            <w:pPr>
              <w:spacing w:after="156" w:line="240" w:lineRule="auto"/>
              <w:ind w:firstLine="0" w:firstLineChars="0"/>
              <w:rPr>
                <w:sz w:val="21"/>
                <w:szCs w:val="21"/>
              </w:rPr>
            </w:pPr>
            <w:r>
              <w:rPr>
                <w:rFonts w:hint="eastAsia"/>
                <w:sz w:val="21"/>
                <w:szCs w:val="21"/>
              </w:rPr>
              <w:t>环境适用性：应具有耐高温、高压、防爆、防腐、</w:t>
            </w:r>
          </w:p>
          <w:p>
            <w:pPr>
              <w:spacing w:after="156" w:line="240" w:lineRule="auto"/>
              <w:ind w:firstLine="0" w:firstLineChars="0"/>
              <w:rPr>
                <w:sz w:val="21"/>
                <w:szCs w:val="21"/>
              </w:rPr>
            </w:pPr>
            <w:r>
              <w:rPr>
                <w:rFonts w:hint="eastAsia"/>
                <w:sz w:val="21"/>
                <w:szCs w:val="21"/>
              </w:rPr>
              <w:t>防水等抗恶劣环境性能</w:t>
            </w:r>
          </w:p>
        </w:tc>
        <w:tc>
          <w:tcPr>
            <w:tcW w:w="902" w:type="pct"/>
            <w:vAlign w:val="center"/>
          </w:tcPr>
          <w:p>
            <w:pPr>
              <w:spacing w:after="156" w:line="240" w:lineRule="auto"/>
              <w:ind w:firstLine="0" w:firstLineChars="0"/>
              <w:jc w:val="center"/>
              <w:rPr>
                <w:sz w:val="21"/>
                <w:szCs w:val="21"/>
              </w:rPr>
            </w:pPr>
            <w:r>
              <w:rPr>
                <w:rFonts w:hint="eastAsia" w:ascii="仿宋" w:hAnsi="仿宋"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trPr>
        <w:tc>
          <w:tcPr>
            <w:tcW w:w="680" w:type="pct"/>
            <w:vAlign w:val="center"/>
          </w:tcPr>
          <w:p>
            <w:pPr>
              <w:spacing w:after="156" w:line="240" w:lineRule="auto"/>
              <w:ind w:firstLine="0" w:firstLineChars="0"/>
              <w:rPr>
                <w:sz w:val="21"/>
                <w:szCs w:val="21"/>
              </w:rPr>
            </w:pPr>
            <w:r>
              <w:rPr>
                <w:rFonts w:hint="eastAsia"/>
                <w:sz w:val="21"/>
                <w:szCs w:val="21"/>
              </w:rPr>
              <w:t>燃气场站</w:t>
            </w:r>
          </w:p>
        </w:tc>
        <w:tc>
          <w:tcPr>
            <w:tcW w:w="941" w:type="pct"/>
            <w:vAlign w:val="center"/>
          </w:tcPr>
          <w:p>
            <w:pPr>
              <w:spacing w:after="156" w:line="240" w:lineRule="auto"/>
              <w:ind w:firstLine="0" w:firstLineChars="0"/>
              <w:rPr>
                <w:sz w:val="21"/>
                <w:szCs w:val="21"/>
              </w:rPr>
            </w:pPr>
            <w:r>
              <w:rPr>
                <w:rFonts w:hint="eastAsia"/>
                <w:sz w:val="21"/>
                <w:szCs w:val="21"/>
              </w:rPr>
              <w:t>浓度、视频监控</w:t>
            </w:r>
          </w:p>
        </w:tc>
        <w:tc>
          <w:tcPr>
            <w:tcW w:w="2477" w:type="pct"/>
            <w:vAlign w:val="center"/>
          </w:tcPr>
          <w:p>
            <w:pPr>
              <w:spacing w:after="156" w:line="240" w:lineRule="auto"/>
              <w:ind w:firstLine="0" w:firstLineChars="0"/>
              <w:rPr>
                <w:sz w:val="21"/>
                <w:szCs w:val="21"/>
              </w:rPr>
            </w:pPr>
            <w:r>
              <w:rPr>
                <w:rFonts w:hint="eastAsia"/>
                <w:sz w:val="21"/>
                <w:szCs w:val="21"/>
              </w:rPr>
              <w:t>检测距离：（0～150）m</w:t>
            </w:r>
          </w:p>
          <w:p>
            <w:pPr>
              <w:spacing w:after="156" w:line="240" w:lineRule="auto"/>
              <w:ind w:firstLine="0" w:firstLineChars="0"/>
              <w:rPr>
                <w:sz w:val="21"/>
                <w:szCs w:val="21"/>
              </w:rPr>
            </w:pPr>
            <w:r>
              <w:rPr>
                <w:rFonts w:hint="eastAsia"/>
                <w:sz w:val="21"/>
                <w:szCs w:val="21"/>
              </w:rPr>
              <w:t>检测范围：（0～50000）ppm·m响应时间：＜0.1s</w:t>
            </w:r>
          </w:p>
        </w:tc>
        <w:tc>
          <w:tcPr>
            <w:tcW w:w="902" w:type="pct"/>
            <w:vAlign w:val="center"/>
          </w:tcPr>
          <w:p>
            <w:pPr>
              <w:spacing w:after="156" w:line="240" w:lineRule="auto"/>
              <w:ind w:firstLine="0" w:firstLineChars="0"/>
              <w:jc w:val="center"/>
              <w:rPr>
                <w:sz w:val="21"/>
                <w:szCs w:val="21"/>
              </w:rPr>
            </w:pPr>
            <w:r>
              <w:rPr>
                <w:rFonts w:hint="eastAsia" w:ascii="等线" w:hAnsi="等线" w:eastAsia="等线" w:cs="宋体"/>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trPr>
        <w:tc>
          <w:tcPr>
            <w:tcW w:w="680" w:type="pct"/>
            <w:vAlign w:val="center"/>
          </w:tcPr>
          <w:p>
            <w:pPr>
              <w:spacing w:after="156" w:line="240" w:lineRule="auto"/>
              <w:ind w:firstLine="0" w:firstLineChars="0"/>
              <w:rPr>
                <w:sz w:val="21"/>
                <w:szCs w:val="21"/>
              </w:rPr>
            </w:pPr>
            <w:r>
              <w:rPr>
                <w:rFonts w:hint="eastAsia"/>
                <w:sz w:val="21"/>
                <w:szCs w:val="21"/>
              </w:rPr>
              <w:t>燃气阀门井</w:t>
            </w:r>
          </w:p>
        </w:tc>
        <w:tc>
          <w:tcPr>
            <w:tcW w:w="941" w:type="pct"/>
            <w:vAlign w:val="center"/>
          </w:tcPr>
          <w:p>
            <w:pPr>
              <w:spacing w:after="156" w:line="240" w:lineRule="auto"/>
              <w:ind w:firstLine="0" w:firstLineChars="0"/>
              <w:rPr>
                <w:sz w:val="21"/>
                <w:szCs w:val="21"/>
              </w:rPr>
            </w:pPr>
            <w:r>
              <w:rPr>
                <w:rFonts w:hint="eastAsia"/>
                <w:sz w:val="21"/>
                <w:szCs w:val="21"/>
              </w:rPr>
              <w:t>甲烷气体浓度</w:t>
            </w:r>
          </w:p>
        </w:tc>
        <w:tc>
          <w:tcPr>
            <w:tcW w:w="2477" w:type="pct"/>
            <w:vAlign w:val="center"/>
          </w:tcPr>
          <w:p>
            <w:pPr>
              <w:spacing w:after="156" w:line="240" w:lineRule="auto"/>
              <w:ind w:firstLine="0" w:firstLineChars="0"/>
              <w:rPr>
                <w:sz w:val="21"/>
                <w:szCs w:val="21"/>
                <w:lang w:eastAsia="en-US"/>
              </w:rPr>
            </w:pPr>
            <w:r>
              <w:rPr>
                <w:rFonts w:hint="eastAsia"/>
                <w:sz w:val="21"/>
                <w:szCs w:val="21"/>
                <w:lang w:eastAsia="en-US"/>
              </w:rPr>
              <w:t>量程：（0～20%）VOL</w:t>
            </w:r>
          </w:p>
          <w:p>
            <w:pPr>
              <w:spacing w:after="156" w:line="240" w:lineRule="auto"/>
              <w:ind w:firstLine="0" w:firstLineChars="0"/>
              <w:rPr>
                <w:sz w:val="21"/>
                <w:szCs w:val="21"/>
              </w:rPr>
            </w:pPr>
            <w:r>
              <w:rPr>
                <w:rFonts w:hint="eastAsia"/>
                <w:sz w:val="21"/>
                <w:szCs w:val="21"/>
              </w:rPr>
              <w:t>精度：±0.1%VOL</w:t>
            </w:r>
          </w:p>
          <w:p>
            <w:pPr>
              <w:spacing w:after="156" w:line="240" w:lineRule="auto"/>
              <w:ind w:firstLine="0" w:firstLineChars="0"/>
              <w:rPr>
                <w:sz w:val="21"/>
                <w:szCs w:val="21"/>
              </w:rPr>
            </w:pPr>
            <w:r>
              <w:rPr>
                <w:rFonts w:hint="eastAsia"/>
                <w:sz w:val="21"/>
                <w:szCs w:val="21"/>
              </w:rPr>
              <w:t>示值误差：≤2.5%FS</w:t>
            </w:r>
          </w:p>
          <w:p>
            <w:pPr>
              <w:spacing w:after="156" w:line="240" w:lineRule="auto"/>
              <w:ind w:firstLine="0" w:firstLineChars="0"/>
              <w:rPr>
                <w:sz w:val="21"/>
                <w:szCs w:val="21"/>
              </w:rPr>
            </w:pPr>
            <w:r>
              <w:rPr>
                <w:rFonts w:hint="eastAsia"/>
                <w:spacing w:val="-2"/>
                <w:sz w:val="21"/>
                <w:szCs w:val="21"/>
              </w:rPr>
              <w:t>使用寿命：不少于</w:t>
            </w:r>
            <w:r>
              <w:rPr>
                <w:rFonts w:hint="eastAsia"/>
                <w:sz w:val="21"/>
                <w:szCs w:val="21"/>
              </w:rPr>
              <w:t>5年工作温度：（-10～60）℃</w:t>
            </w:r>
          </w:p>
          <w:p>
            <w:pPr>
              <w:spacing w:after="156" w:line="240" w:lineRule="auto"/>
              <w:ind w:firstLine="0" w:firstLineChars="0"/>
              <w:rPr>
                <w:sz w:val="21"/>
                <w:szCs w:val="21"/>
              </w:rPr>
            </w:pPr>
            <w:r>
              <w:rPr>
                <w:rFonts w:hint="eastAsia"/>
                <w:sz w:val="21"/>
                <w:szCs w:val="21"/>
              </w:rPr>
              <w:t>防爆等级：ExibIIBT4Gb</w:t>
            </w:r>
          </w:p>
          <w:p>
            <w:pPr>
              <w:spacing w:after="156" w:line="240" w:lineRule="auto"/>
              <w:ind w:firstLine="0" w:firstLineChars="0"/>
              <w:rPr>
                <w:sz w:val="21"/>
                <w:szCs w:val="21"/>
              </w:rPr>
            </w:pPr>
            <w:r>
              <w:rPr>
                <w:rFonts w:hint="eastAsia"/>
                <w:sz w:val="21"/>
                <w:szCs w:val="21"/>
              </w:rPr>
              <w:t>采集频率：标准模式下不低于1次/30</w:t>
            </w:r>
            <w:r>
              <w:rPr>
                <w:rFonts w:hint="eastAsia"/>
                <w:spacing w:val="-5"/>
                <w:sz w:val="21"/>
                <w:szCs w:val="21"/>
              </w:rPr>
              <w:t>min</w:t>
            </w:r>
            <w:r>
              <w:rPr>
                <w:rFonts w:hint="eastAsia"/>
                <w:sz w:val="21"/>
                <w:szCs w:val="21"/>
              </w:rPr>
              <w:t>，触发</w:t>
            </w:r>
            <w:r>
              <w:rPr>
                <w:rFonts w:hint="eastAsia"/>
                <w:spacing w:val="-9"/>
                <w:sz w:val="21"/>
                <w:szCs w:val="21"/>
              </w:rPr>
              <w:t>报警时不低于</w:t>
            </w:r>
            <w:r>
              <w:rPr>
                <w:rFonts w:hint="eastAsia"/>
                <w:sz w:val="21"/>
                <w:szCs w:val="21"/>
              </w:rPr>
              <w:t>1次/5min</w:t>
            </w:r>
          </w:p>
          <w:p>
            <w:pPr>
              <w:spacing w:after="156" w:line="240" w:lineRule="auto"/>
              <w:ind w:firstLine="0" w:firstLineChars="0"/>
              <w:rPr>
                <w:sz w:val="21"/>
                <w:szCs w:val="21"/>
              </w:rPr>
            </w:pPr>
            <w:r>
              <w:rPr>
                <w:rFonts w:hint="eastAsia"/>
                <w:sz w:val="21"/>
                <w:szCs w:val="21"/>
              </w:rPr>
              <w:t>环境适用性：应具防爆、防腐、防水等抗恶劣环境性能</w:t>
            </w:r>
          </w:p>
          <w:p>
            <w:pPr>
              <w:spacing w:after="156" w:line="240" w:lineRule="auto"/>
              <w:ind w:firstLine="0" w:firstLineChars="0"/>
              <w:rPr>
                <w:sz w:val="21"/>
                <w:szCs w:val="21"/>
              </w:rPr>
            </w:pPr>
            <w:r>
              <w:rPr>
                <w:rFonts w:hint="eastAsia"/>
                <w:sz w:val="21"/>
                <w:szCs w:val="21"/>
              </w:rPr>
              <w:t>防护等级：IP68</w:t>
            </w:r>
          </w:p>
          <w:p>
            <w:pPr>
              <w:spacing w:after="156" w:line="240" w:lineRule="auto"/>
              <w:ind w:firstLine="0" w:firstLineChars="0"/>
              <w:rPr>
                <w:sz w:val="21"/>
                <w:szCs w:val="21"/>
              </w:rPr>
            </w:pPr>
            <w:r>
              <w:rPr>
                <w:rFonts w:hint="eastAsia"/>
                <w:sz w:val="21"/>
                <w:szCs w:val="21"/>
              </w:rPr>
              <w:t>通过交变湿热环境试验，湿度不低于95%RH</w:t>
            </w:r>
          </w:p>
          <w:p>
            <w:pPr>
              <w:spacing w:after="156" w:line="240" w:lineRule="auto"/>
              <w:ind w:firstLine="0" w:firstLineChars="0"/>
              <w:rPr>
                <w:sz w:val="21"/>
                <w:szCs w:val="21"/>
              </w:rPr>
            </w:pPr>
            <w:r>
              <w:rPr>
                <w:rFonts w:hint="eastAsia"/>
                <w:sz w:val="21"/>
                <w:szCs w:val="21"/>
              </w:rPr>
              <w:t>通过恒定湿热环境试验，温度（40±2）℃，湿度</w:t>
            </w:r>
          </w:p>
          <w:p>
            <w:pPr>
              <w:spacing w:after="156" w:line="240" w:lineRule="auto"/>
              <w:ind w:firstLine="0" w:firstLineChars="0"/>
              <w:rPr>
                <w:sz w:val="21"/>
                <w:szCs w:val="21"/>
              </w:rPr>
            </w:pPr>
            <w:r>
              <w:rPr>
                <w:rFonts w:hint="eastAsia"/>
                <w:sz w:val="21"/>
                <w:szCs w:val="21"/>
                <w:lang w:eastAsia="en-US"/>
              </w:rPr>
              <w:t>（93±3）%RH</w:t>
            </w:r>
          </w:p>
        </w:tc>
        <w:tc>
          <w:tcPr>
            <w:tcW w:w="902" w:type="pct"/>
            <w:vAlign w:val="center"/>
          </w:tcPr>
          <w:p>
            <w:pPr>
              <w:spacing w:after="156" w:line="240" w:lineRule="auto"/>
              <w:ind w:firstLine="0" w:firstLineChars="0"/>
              <w:jc w:val="center"/>
              <w:rPr>
                <w:sz w:val="21"/>
                <w:szCs w:val="21"/>
                <w:lang w:eastAsia="en-US"/>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680" w:type="pct"/>
            <w:vAlign w:val="center"/>
          </w:tcPr>
          <w:p>
            <w:pPr>
              <w:spacing w:after="156" w:line="240" w:lineRule="auto"/>
              <w:ind w:firstLine="0" w:firstLineChars="0"/>
              <w:rPr>
                <w:sz w:val="21"/>
                <w:szCs w:val="21"/>
              </w:rPr>
            </w:pPr>
            <w:r>
              <w:rPr>
                <w:rFonts w:hint="eastAsia"/>
                <w:sz w:val="21"/>
                <w:szCs w:val="21"/>
              </w:rPr>
              <w:t>燃气管网相邻地下空间</w:t>
            </w:r>
          </w:p>
        </w:tc>
        <w:tc>
          <w:tcPr>
            <w:tcW w:w="941" w:type="pct"/>
            <w:vAlign w:val="center"/>
          </w:tcPr>
          <w:p>
            <w:pPr>
              <w:spacing w:after="156" w:line="240" w:lineRule="auto"/>
              <w:ind w:firstLine="0" w:firstLineChars="0"/>
              <w:rPr>
                <w:sz w:val="21"/>
                <w:szCs w:val="21"/>
              </w:rPr>
            </w:pPr>
            <w:r>
              <w:rPr>
                <w:rFonts w:hint="eastAsia"/>
                <w:sz w:val="21"/>
                <w:szCs w:val="21"/>
              </w:rPr>
              <w:t>甲烷气体浓度</w:t>
            </w:r>
          </w:p>
        </w:tc>
        <w:tc>
          <w:tcPr>
            <w:tcW w:w="2477" w:type="pct"/>
            <w:vAlign w:val="center"/>
          </w:tcPr>
          <w:p>
            <w:pPr>
              <w:spacing w:after="156" w:line="240" w:lineRule="auto"/>
              <w:ind w:firstLine="0" w:firstLineChars="0"/>
              <w:rPr>
                <w:sz w:val="21"/>
                <w:szCs w:val="21"/>
                <w:lang w:eastAsia="en-US"/>
              </w:rPr>
            </w:pPr>
            <w:r>
              <w:rPr>
                <w:rFonts w:hint="eastAsia"/>
                <w:sz w:val="21"/>
                <w:szCs w:val="21"/>
                <w:lang w:eastAsia="en-US"/>
              </w:rPr>
              <w:t>量程：（0～20%）VOL</w:t>
            </w:r>
          </w:p>
          <w:p>
            <w:pPr>
              <w:spacing w:after="156" w:line="240" w:lineRule="auto"/>
              <w:ind w:firstLine="0" w:firstLineChars="0"/>
              <w:rPr>
                <w:sz w:val="21"/>
                <w:szCs w:val="21"/>
              </w:rPr>
            </w:pPr>
            <w:r>
              <w:rPr>
                <w:rFonts w:hint="eastAsia"/>
                <w:sz w:val="21"/>
                <w:szCs w:val="21"/>
              </w:rPr>
              <w:t>精度：±0.1%VOL</w:t>
            </w:r>
          </w:p>
          <w:p>
            <w:pPr>
              <w:spacing w:after="156" w:line="240" w:lineRule="auto"/>
              <w:ind w:firstLine="0" w:firstLineChars="0"/>
              <w:rPr>
                <w:sz w:val="21"/>
                <w:szCs w:val="21"/>
              </w:rPr>
            </w:pPr>
            <w:r>
              <w:rPr>
                <w:rFonts w:hint="eastAsia"/>
                <w:sz w:val="21"/>
                <w:szCs w:val="21"/>
              </w:rPr>
              <w:t>示值误差：≤2.5%FS</w:t>
            </w:r>
          </w:p>
          <w:p>
            <w:pPr>
              <w:spacing w:after="156" w:line="240" w:lineRule="auto"/>
              <w:ind w:firstLine="0" w:firstLineChars="0"/>
              <w:rPr>
                <w:sz w:val="21"/>
                <w:szCs w:val="21"/>
              </w:rPr>
            </w:pPr>
            <w:r>
              <w:rPr>
                <w:rFonts w:hint="eastAsia"/>
                <w:spacing w:val="-2"/>
                <w:sz w:val="21"/>
                <w:szCs w:val="21"/>
              </w:rPr>
              <w:t>使用寿命：不少于</w:t>
            </w:r>
            <w:r>
              <w:rPr>
                <w:rFonts w:hint="eastAsia"/>
                <w:sz w:val="21"/>
                <w:szCs w:val="21"/>
              </w:rPr>
              <w:t>5年工作温度：（-10～60）℃</w:t>
            </w:r>
          </w:p>
          <w:p>
            <w:pPr>
              <w:spacing w:after="156" w:line="240" w:lineRule="auto"/>
              <w:ind w:firstLine="0" w:firstLineChars="0"/>
              <w:rPr>
                <w:sz w:val="21"/>
                <w:szCs w:val="21"/>
              </w:rPr>
            </w:pPr>
            <w:r>
              <w:rPr>
                <w:rFonts w:hint="eastAsia"/>
                <w:sz w:val="21"/>
                <w:szCs w:val="21"/>
              </w:rPr>
              <w:t>防爆等级：ExibIIBT4Gb</w:t>
            </w:r>
          </w:p>
          <w:p>
            <w:pPr>
              <w:spacing w:after="156" w:line="240" w:lineRule="auto"/>
              <w:ind w:firstLine="0" w:firstLineChars="0"/>
              <w:rPr>
                <w:sz w:val="21"/>
                <w:szCs w:val="21"/>
              </w:rPr>
            </w:pPr>
            <w:r>
              <w:rPr>
                <w:rFonts w:hint="eastAsia"/>
                <w:sz w:val="21"/>
                <w:szCs w:val="21"/>
              </w:rPr>
              <w:t>采集频率：标准模式下不低于1次/30</w:t>
            </w:r>
            <w:r>
              <w:rPr>
                <w:rFonts w:hint="eastAsia"/>
                <w:spacing w:val="-5"/>
                <w:sz w:val="21"/>
                <w:szCs w:val="21"/>
              </w:rPr>
              <w:t>min</w:t>
            </w:r>
            <w:r>
              <w:rPr>
                <w:rFonts w:hint="eastAsia"/>
                <w:sz w:val="21"/>
                <w:szCs w:val="21"/>
              </w:rPr>
              <w:t>，触发</w:t>
            </w:r>
            <w:r>
              <w:rPr>
                <w:rFonts w:hint="eastAsia"/>
                <w:spacing w:val="-9"/>
                <w:sz w:val="21"/>
                <w:szCs w:val="21"/>
              </w:rPr>
              <w:t>报警时不低于</w:t>
            </w:r>
            <w:r>
              <w:rPr>
                <w:rFonts w:hint="eastAsia"/>
                <w:sz w:val="21"/>
                <w:szCs w:val="21"/>
              </w:rPr>
              <w:t>1次/5min</w:t>
            </w:r>
          </w:p>
          <w:p>
            <w:pPr>
              <w:spacing w:after="156" w:line="240" w:lineRule="auto"/>
              <w:ind w:firstLine="0" w:firstLineChars="0"/>
              <w:rPr>
                <w:sz w:val="21"/>
                <w:szCs w:val="21"/>
              </w:rPr>
            </w:pPr>
            <w:r>
              <w:rPr>
                <w:rFonts w:hint="eastAsia"/>
                <w:sz w:val="21"/>
                <w:szCs w:val="21"/>
              </w:rPr>
              <w:t>环境适用性：应具防爆、防腐、防水等抗恶劣环境性能</w:t>
            </w:r>
          </w:p>
          <w:p>
            <w:pPr>
              <w:spacing w:after="156" w:line="240" w:lineRule="auto"/>
              <w:ind w:firstLine="0" w:firstLineChars="0"/>
              <w:rPr>
                <w:sz w:val="21"/>
                <w:szCs w:val="21"/>
              </w:rPr>
            </w:pPr>
            <w:r>
              <w:rPr>
                <w:rFonts w:hint="eastAsia"/>
                <w:sz w:val="21"/>
                <w:szCs w:val="21"/>
              </w:rPr>
              <w:t>防护等级：IP68</w:t>
            </w:r>
          </w:p>
          <w:p>
            <w:pPr>
              <w:spacing w:after="156" w:line="240" w:lineRule="auto"/>
              <w:ind w:firstLine="0" w:firstLineChars="0"/>
              <w:rPr>
                <w:sz w:val="21"/>
                <w:szCs w:val="21"/>
              </w:rPr>
            </w:pPr>
            <w:r>
              <w:rPr>
                <w:rFonts w:hint="eastAsia"/>
                <w:sz w:val="21"/>
                <w:szCs w:val="21"/>
              </w:rPr>
              <w:t>通过交变湿热环境试验，湿度不低于95%RH</w:t>
            </w:r>
          </w:p>
          <w:p>
            <w:pPr>
              <w:spacing w:after="156" w:line="240" w:lineRule="auto"/>
              <w:ind w:firstLine="0" w:firstLineChars="0"/>
              <w:rPr>
                <w:sz w:val="21"/>
                <w:szCs w:val="21"/>
              </w:rPr>
            </w:pPr>
            <w:r>
              <w:rPr>
                <w:rFonts w:hint="eastAsia"/>
                <w:sz w:val="21"/>
                <w:szCs w:val="21"/>
              </w:rPr>
              <w:t>通过恒定湿热环境试验，温度（40±2）℃，湿度</w:t>
            </w:r>
          </w:p>
          <w:p>
            <w:pPr>
              <w:spacing w:after="156" w:line="240" w:lineRule="auto"/>
              <w:ind w:firstLine="0" w:firstLineChars="0"/>
              <w:rPr>
                <w:sz w:val="21"/>
                <w:szCs w:val="21"/>
                <w:lang w:eastAsia="en-US"/>
              </w:rPr>
            </w:pPr>
            <w:r>
              <w:rPr>
                <w:rFonts w:hint="eastAsia"/>
                <w:sz w:val="21"/>
                <w:szCs w:val="21"/>
                <w:lang w:eastAsia="en-US"/>
              </w:rPr>
              <w:t>（93±3）%RH</w:t>
            </w:r>
          </w:p>
        </w:tc>
        <w:tc>
          <w:tcPr>
            <w:tcW w:w="902" w:type="pct"/>
            <w:vAlign w:val="center"/>
          </w:tcPr>
          <w:p>
            <w:pPr>
              <w:spacing w:after="156" w:line="240" w:lineRule="auto"/>
              <w:ind w:firstLine="0" w:firstLineChars="0"/>
              <w:jc w:val="center"/>
              <w:rPr>
                <w:sz w:val="21"/>
                <w:szCs w:val="21"/>
                <w:lang w:eastAsia="en-US"/>
              </w:rPr>
            </w:pPr>
            <w:r>
              <w:rPr>
                <w:rFonts w:hint="eastAsia"/>
                <w:sz w:val="24"/>
              </w:rPr>
              <w:t>★</w:t>
            </w:r>
          </w:p>
        </w:tc>
      </w:tr>
      <w:bookmarkEnd w:id="56"/>
    </w:tbl>
    <w:p>
      <w:pPr>
        <w:spacing w:after="156"/>
        <w:ind w:firstLine="0" w:firstLineChars="0"/>
        <w:jc w:val="center"/>
        <w:rPr>
          <w:sz w:val="24"/>
        </w:rPr>
      </w:pPr>
      <w:r>
        <w:rPr>
          <w:rFonts w:hint="eastAsia"/>
          <w:sz w:val="24"/>
        </w:rPr>
        <w:t>备注：★应监测指标▲宜监测指标○可监测指标</w:t>
      </w:r>
    </w:p>
    <w:p>
      <w:pPr>
        <w:spacing w:after="156"/>
      </w:pPr>
      <w:r>
        <w:rPr>
          <w:rFonts w:hint="eastAsia"/>
        </w:rPr>
        <w:t>城市燃气运行监测根据风险评估结果进行监测点位布设，较大风险等级及以上的必须安装监测设备。</w:t>
      </w:r>
    </w:p>
    <w:p>
      <w:pPr>
        <w:spacing w:after="156"/>
      </w:pPr>
      <w:r>
        <w:rPr>
          <w:rFonts w:hint="eastAsia"/>
        </w:rPr>
        <w:t>优先选择以下部位或区域进行布点：</w:t>
      </w:r>
    </w:p>
    <w:p>
      <w:pPr>
        <w:spacing w:after="156"/>
      </w:pPr>
      <w:r>
        <w:rPr>
          <w:rFonts w:hint="eastAsia"/>
        </w:rPr>
        <w:t>（1）高压、次高压管线和人口密集区中低压主干管线；</w:t>
      </w:r>
    </w:p>
    <w:p>
      <w:pPr>
        <w:spacing w:after="156"/>
      </w:pPr>
      <w:r>
        <w:rPr>
          <w:rFonts w:hint="eastAsia"/>
        </w:rPr>
        <w:t>（2）燃气场站，燃气阀门井；</w:t>
      </w:r>
    </w:p>
    <w:p>
      <w:pPr>
        <w:spacing w:after="156"/>
      </w:pPr>
      <w:r>
        <w:rPr>
          <w:rFonts w:hint="eastAsia"/>
        </w:rPr>
        <w:t>（3）燃气管线相邻的雨污水、电力、通信等管线及地下阀室；</w:t>
      </w:r>
    </w:p>
    <w:p>
      <w:pPr>
        <w:spacing w:after="156"/>
      </w:pPr>
      <w:r>
        <w:rPr>
          <w:rFonts w:hint="eastAsia"/>
        </w:rPr>
        <w:t>（4）有燃气管线穿越的密闭和半密闭空间和燃气泄漏后易通过土壤和管线扩散聚集的空间。</w:t>
      </w:r>
    </w:p>
    <w:p>
      <w:pPr>
        <w:spacing w:after="156"/>
      </w:pPr>
      <w:r>
        <w:rPr>
          <w:rFonts w:hint="eastAsia"/>
        </w:rPr>
        <w:t>（5）燃气爆炸后易产生严重后果的空间。</w:t>
      </w:r>
    </w:p>
    <w:p>
      <w:pPr>
        <w:pStyle w:val="3"/>
        <w:spacing w:after="156"/>
      </w:pPr>
      <w:bookmarkStart w:id="57" w:name="_Toc184031839"/>
      <w:bookmarkStart w:id="58" w:name="_Toc182299752"/>
      <w:r>
        <w:rPr>
          <w:rFonts w:hint="eastAsia"/>
        </w:rPr>
        <w:t>供水管网感知网络建设要求</w:t>
      </w:r>
      <w:bookmarkEnd w:id="57"/>
      <w:bookmarkEnd w:id="58"/>
    </w:p>
    <w:p>
      <w:pPr>
        <w:spacing w:after="156"/>
      </w:pPr>
      <w:r>
        <w:rPr>
          <w:rFonts w:hint="eastAsia"/>
        </w:rPr>
        <w:t>供水管网运行监测对象包含配水管网和原水管网的管道、阀门及附件、市政消火栓等，应对管网及设备的流量、压力、漏水声波及水质等进行监测，实现供水管网基本运行工况实时监测和漏失在线定位。</w:t>
      </w:r>
    </w:p>
    <w:p>
      <w:pPr>
        <w:pStyle w:val="11"/>
        <w:spacing w:after="156"/>
      </w:pPr>
      <w:r>
        <w:rPr>
          <w:rFonts w:hint="eastAsia"/>
        </w:rPr>
        <w:t>表</w:t>
      </w:r>
      <w:r>
        <w:fldChar w:fldCharType="begin"/>
      </w:r>
      <w:r>
        <w:instrText xml:space="preserve"> </w:instrText>
      </w:r>
      <w:r>
        <w:rPr>
          <w:rFonts w:hint="eastAsia"/>
        </w:rPr>
        <w:instrText xml:space="preserve">STYLEREF 2 \s</w:instrText>
      </w:r>
      <w:r>
        <w:instrText xml:space="preserve"> </w:instrText>
      </w:r>
      <w:r>
        <w:fldChar w:fldCharType="separate"/>
      </w:r>
      <w:r>
        <w:t>7.2</w:t>
      </w:r>
      <w:r>
        <w:fldChar w:fldCharType="end"/>
      </w:r>
      <w:r>
        <w:noBreakHyphen/>
      </w:r>
      <w:bookmarkStart w:id="59" w:name="_Hlk163820416"/>
      <w:r>
        <w:rPr>
          <w:rFonts w:hint="eastAsia"/>
        </w:rPr>
        <w:t>1供水监测对象及主要指标</w:t>
      </w:r>
    </w:p>
    <w:bookmarkEnd w:id="59"/>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44"/>
        <w:gridCol w:w="447"/>
        <w:gridCol w:w="659"/>
        <w:gridCol w:w="1294"/>
        <w:gridCol w:w="1608"/>
        <w:gridCol w:w="2084"/>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rPr>
        <w:tc>
          <w:tcPr>
            <w:tcW w:w="688" w:type="pct"/>
            <w:vAlign w:val="center"/>
          </w:tcPr>
          <w:p>
            <w:pPr>
              <w:spacing w:after="156" w:line="240" w:lineRule="auto"/>
              <w:ind w:firstLine="0" w:firstLineChars="0"/>
              <w:jc w:val="center"/>
              <w:rPr>
                <w:sz w:val="21"/>
                <w:szCs w:val="21"/>
                <w:lang w:eastAsia="en-US"/>
              </w:rPr>
            </w:pPr>
            <w:bookmarkStart w:id="60" w:name="_Hlk163820371"/>
            <w:r>
              <w:rPr>
                <w:rFonts w:hint="eastAsia"/>
                <w:sz w:val="21"/>
                <w:szCs w:val="21"/>
              </w:rPr>
              <w:t>监测对象</w:t>
            </w:r>
          </w:p>
        </w:tc>
        <w:tc>
          <w:tcPr>
            <w:tcW w:w="665" w:type="pct"/>
            <w:gridSpan w:val="2"/>
            <w:vAlign w:val="center"/>
          </w:tcPr>
          <w:p>
            <w:pPr>
              <w:spacing w:after="156" w:line="240" w:lineRule="auto"/>
              <w:ind w:firstLine="0" w:firstLineChars="0"/>
              <w:jc w:val="center"/>
              <w:rPr>
                <w:sz w:val="21"/>
                <w:szCs w:val="21"/>
                <w:lang w:eastAsia="en-US"/>
              </w:rPr>
            </w:pPr>
            <w:r>
              <w:rPr>
                <w:rFonts w:hint="eastAsia"/>
                <w:sz w:val="21"/>
                <w:szCs w:val="21"/>
              </w:rPr>
              <w:t>监测指标</w:t>
            </w:r>
          </w:p>
        </w:tc>
        <w:tc>
          <w:tcPr>
            <w:tcW w:w="2998" w:type="pct"/>
            <w:gridSpan w:val="3"/>
            <w:vAlign w:val="center"/>
          </w:tcPr>
          <w:p>
            <w:pPr>
              <w:spacing w:after="156" w:line="240" w:lineRule="auto"/>
              <w:ind w:firstLine="0" w:firstLineChars="0"/>
              <w:jc w:val="center"/>
              <w:rPr>
                <w:sz w:val="21"/>
                <w:szCs w:val="21"/>
                <w:lang w:eastAsia="en-US"/>
              </w:rPr>
            </w:pPr>
            <w:r>
              <w:rPr>
                <w:rFonts w:hint="eastAsia"/>
                <w:sz w:val="21"/>
                <w:szCs w:val="21"/>
              </w:rPr>
              <w:t>监测设备技术要求</w:t>
            </w:r>
          </w:p>
        </w:tc>
        <w:tc>
          <w:tcPr>
            <w:tcW w:w="649" w:type="pct"/>
            <w:vAlign w:val="center"/>
          </w:tcPr>
          <w:p>
            <w:pPr>
              <w:spacing w:after="156" w:line="240" w:lineRule="auto"/>
              <w:ind w:firstLine="0" w:firstLineChars="0"/>
              <w:jc w:val="center"/>
              <w:rPr>
                <w:sz w:val="21"/>
                <w:szCs w:val="21"/>
              </w:rPr>
            </w:pPr>
            <w:r>
              <w:rPr>
                <w:rFonts w:hint="eastAsia"/>
                <w:w w:val="99"/>
                <w:sz w:val="21"/>
                <w:szCs w:val="21"/>
              </w:rPr>
              <w:t>建设优先级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8" w:hRule="atLeast"/>
        </w:trPr>
        <w:tc>
          <w:tcPr>
            <w:tcW w:w="688" w:type="pct"/>
            <w:vMerge w:val="restart"/>
            <w:vAlign w:val="center"/>
          </w:tcPr>
          <w:p>
            <w:pPr>
              <w:spacing w:after="156" w:line="240" w:lineRule="auto"/>
              <w:ind w:firstLine="0" w:firstLineChars="0"/>
              <w:rPr>
                <w:sz w:val="21"/>
                <w:szCs w:val="21"/>
              </w:rPr>
            </w:pPr>
            <w:r>
              <w:rPr>
                <w:rFonts w:hint="eastAsia"/>
                <w:sz w:val="21"/>
                <w:szCs w:val="21"/>
              </w:rPr>
              <w:t>配水管网</w:t>
            </w:r>
          </w:p>
        </w:tc>
        <w:tc>
          <w:tcPr>
            <w:tcW w:w="665" w:type="pct"/>
            <w:gridSpan w:val="2"/>
            <w:vAlign w:val="center"/>
          </w:tcPr>
          <w:p>
            <w:pPr>
              <w:spacing w:after="156" w:line="240" w:lineRule="auto"/>
              <w:ind w:firstLine="0" w:firstLineChars="0"/>
              <w:rPr>
                <w:sz w:val="21"/>
                <w:szCs w:val="21"/>
              </w:rPr>
            </w:pPr>
            <w:r>
              <w:rPr>
                <w:rFonts w:hint="eastAsia"/>
                <w:sz w:val="21"/>
                <w:szCs w:val="21"/>
              </w:rPr>
              <w:t>流量</w:t>
            </w:r>
          </w:p>
        </w:tc>
        <w:tc>
          <w:tcPr>
            <w:tcW w:w="2998" w:type="pct"/>
            <w:gridSpan w:val="3"/>
            <w:vAlign w:val="center"/>
          </w:tcPr>
          <w:p>
            <w:pPr>
              <w:spacing w:after="156" w:line="240" w:lineRule="auto"/>
              <w:ind w:firstLine="0" w:firstLineChars="0"/>
              <w:rPr>
                <w:sz w:val="21"/>
                <w:szCs w:val="21"/>
              </w:rPr>
            </w:pPr>
            <w:r>
              <w:rPr>
                <w:rFonts w:hint="eastAsia"/>
                <w:sz w:val="21"/>
                <w:szCs w:val="21"/>
              </w:rPr>
              <w:t>量程：（0～10）m/s</w:t>
            </w:r>
          </w:p>
          <w:p>
            <w:pPr>
              <w:spacing w:after="156" w:line="240" w:lineRule="auto"/>
              <w:ind w:firstLine="0" w:firstLineChars="0"/>
              <w:rPr>
                <w:sz w:val="21"/>
                <w:szCs w:val="21"/>
              </w:rPr>
            </w:pPr>
            <w:r>
              <w:rPr>
                <w:rFonts w:hint="eastAsia"/>
                <w:sz w:val="21"/>
                <w:szCs w:val="21"/>
              </w:rPr>
              <w:t>精度：测量精度不低于±1%，重复性精度不低于0.2%</w:t>
            </w:r>
          </w:p>
          <w:p>
            <w:pPr>
              <w:spacing w:after="156" w:line="240" w:lineRule="auto"/>
              <w:ind w:firstLine="0" w:firstLineChars="0"/>
              <w:rPr>
                <w:spacing w:val="-3"/>
                <w:sz w:val="21"/>
                <w:szCs w:val="21"/>
              </w:rPr>
            </w:pPr>
            <w:r>
              <w:rPr>
                <w:rFonts w:hint="eastAsia"/>
                <w:sz w:val="21"/>
                <w:szCs w:val="21"/>
              </w:rPr>
              <w:t>采集频率：不低于1次/5min</w:t>
            </w:r>
            <w:r>
              <w:rPr>
                <w:rFonts w:hint="eastAsia"/>
                <w:spacing w:val="-3"/>
                <w:sz w:val="21"/>
                <w:szCs w:val="21"/>
              </w:rPr>
              <w:t>，采集频率可调</w:t>
            </w:r>
          </w:p>
          <w:p>
            <w:pPr>
              <w:spacing w:after="156" w:line="240" w:lineRule="auto"/>
              <w:ind w:firstLine="0" w:firstLineChars="0"/>
              <w:rPr>
                <w:spacing w:val="-3"/>
                <w:sz w:val="21"/>
                <w:szCs w:val="21"/>
              </w:rPr>
            </w:pPr>
            <w:r>
              <w:rPr>
                <w:rFonts w:hint="eastAsia"/>
                <w:sz w:val="21"/>
                <w:szCs w:val="21"/>
              </w:rPr>
              <w:t>上传频率：不低于1次/5min</w:t>
            </w:r>
            <w:r>
              <w:rPr>
                <w:rFonts w:hint="eastAsia"/>
                <w:spacing w:val="-3"/>
                <w:sz w:val="21"/>
                <w:szCs w:val="21"/>
              </w:rPr>
              <w:t>，上传频率可调</w:t>
            </w:r>
          </w:p>
          <w:p>
            <w:pPr>
              <w:spacing w:after="156" w:line="240" w:lineRule="auto"/>
              <w:ind w:firstLine="0" w:firstLineChars="0"/>
              <w:rPr>
                <w:sz w:val="21"/>
                <w:szCs w:val="21"/>
              </w:rPr>
            </w:pPr>
            <w:r>
              <w:rPr>
                <w:rFonts w:hint="eastAsia"/>
                <w:sz w:val="21"/>
                <w:szCs w:val="21"/>
              </w:rPr>
              <w:t>使用寿命：不少于</w:t>
            </w:r>
            <w:r>
              <w:rPr>
                <w:sz w:val="21"/>
                <w:szCs w:val="21"/>
              </w:rPr>
              <w:t>5</w:t>
            </w:r>
            <w:r>
              <w:rPr>
                <w:rFonts w:hint="eastAsia"/>
                <w:sz w:val="21"/>
                <w:szCs w:val="21"/>
              </w:rPr>
              <w:t>年</w:t>
            </w:r>
          </w:p>
          <w:p>
            <w:pPr>
              <w:spacing w:after="156" w:line="240" w:lineRule="auto"/>
              <w:ind w:firstLine="0" w:firstLineChars="0"/>
              <w:rPr>
                <w:sz w:val="21"/>
                <w:szCs w:val="21"/>
              </w:rPr>
            </w:pPr>
            <w:r>
              <w:rPr>
                <w:rFonts w:hint="eastAsia"/>
                <w:sz w:val="21"/>
                <w:szCs w:val="21"/>
              </w:rPr>
              <w:t>环境适用性：应具有防水、防尘、防腐等抗恶劣环境</w:t>
            </w:r>
          </w:p>
          <w:p>
            <w:pPr>
              <w:spacing w:after="156" w:line="240" w:lineRule="auto"/>
              <w:ind w:firstLine="0" w:firstLineChars="0"/>
              <w:rPr>
                <w:sz w:val="21"/>
                <w:szCs w:val="21"/>
                <w:lang w:eastAsia="en-US"/>
              </w:rPr>
            </w:pPr>
            <w:r>
              <w:rPr>
                <w:rFonts w:hint="eastAsia"/>
                <w:sz w:val="21"/>
                <w:szCs w:val="21"/>
                <w:lang w:eastAsia="en-US"/>
              </w:rPr>
              <w:t>性能</w:t>
            </w:r>
          </w:p>
        </w:tc>
        <w:tc>
          <w:tcPr>
            <w:tcW w:w="649" w:type="pct"/>
            <w:vAlign w:val="center"/>
          </w:tcPr>
          <w:p>
            <w:pPr>
              <w:spacing w:after="156" w:line="240" w:lineRule="auto"/>
              <w:ind w:firstLine="0" w:firstLineChars="0"/>
              <w:jc w:val="center"/>
              <w:rPr>
                <w:sz w:val="21"/>
                <w:szCs w:val="21"/>
                <w:lang w:eastAsia="en-US"/>
              </w:rPr>
            </w:pPr>
            <w:r>
              <w:rPr>
                <w:rFonts w:hint="eastAsia" w:ascii="仿宋" w:hAnsi="仿宋"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9" w:hRule="atLeast"/>
        </w:trPr>
        <w:tc>
          <w:tcPr>
            <w:tcW w:w="688" w:type="pct"/>
            <w:vMerge w:val="continue"/>
            <w:vAlign w:val="center"/>
          </w:tcPr>
          <w:p>
            <w:pPr>
              <w:spacing w:after="156" w:line="240" w:lineRule="auto"/>
              <w:ind w:firstLine="0" w:firstLineChars="0"/>
              <w:rPr>
                <w:sz w:val="21"/>
                <w:szCs w:val="21"/>
              </w:rPr>
            </w:pPr>
          </w:p>
        </w:tc>
        <w:tc>
          <w:tcPr>
            <w:tcW w:w="665" w:type="pct"/>
            <w:gridSpan w:val="2"/>
            <w:vAlign w:val="center"/>
          </w:tcPr>
          <w:p>
            <w:pPr>
              <w:spacing w:after="156" w:line="240" w:lineRule="auto"/>
              <w:ind w:firstLine="0" w:firstLineChars="0"/>
              <w:rPr>
                <w:sz w:val="21"/>
                <w:szCs w:val="21"/>
              </w:rPr>
            </w:pPr>
            <w:r>
              <w:rPr>
                <w:rFonts w:hint="eastAsia"/>
                <w:sz w:val="21"/>
                <w:szCs w:val="21"/>
              </w:rPr>
              <w:t>压力</w:t>
            </w:r>
          </w:p>
        </w:tc>
        <w:tc>
          <w:tcPr>
            <w:tcW w:w="2998" w:type="pct"/>
            <w:gridSpan w:val="3"/>
            <w:vAlign w:val="center"/>
          </w:tcPr>
          <w:p>
            <w:pPr>
              <w:spacing w:after="156" w:line="240" w:lineRule="auto"/>
              <w:ind w:firstLine="0" w:firstLineChars="0"/>
              <w:rPr>
                <w:sz w:val="21"/>
                <w:szCs w:val="21"/>
              </w:rPr>
            </w:pPr>
            <w:r>
              <w:rPr>
                <w:rFonts w:hint="eastAsia"/>
                <w:sz w:val="21"/>
                <w:szCs w:val="21"/>
              </w:rPr>
              <w:t>量程：（0～</w:t>
            </w:r>
            <w:r>
              <w:rPr>
                <w:sz w:val="21"/>
                <w:szCs w:val="21"/>
              </w:rPr>
              <w:t>1.6</w:t>
            </w:r>
            <w:r>
              <w:rPr>
                <w:rFonts w:hint="eastAsia"/>
                <w:sz w:val="21"/>
                <w:szCs w:val="21"/>
              </w:rPr>
              <w:t>）MPa，可监测负压</w:t>
            </w:r>
          </w:p>
          <w:p>
            <w:pPr>
              <w:spacing w:after="156" w:line="240" w:lineRule="auto"/>
              <w:ind w:firstLine="0" w:firstLineChars="0"/>
              <w:rPr>
                <w:sz w:val="21"/>
                <w:szCs w:val="21"/>
              </w:rPr>
            </w:pPr>
            <w:r>
              <w:rPr>
                <w:rFonts w:hint="eastAsia"/>
                <w:sz w:val="21"/>
                <w:szCs w:val="21"/>
              </w:rPr>
              <w:t>精度：不低于±0.5%</w:t>
            </w:r>
            <w:r>
              <w:rPr>
                <w:rFonts w:hint="eastAsia"/>
                <w:spacing w:val="-13"/>
                <w:sz w:val="21"/>
                <w:szCs w:val="21"/>
              </w:rPr>
              <w:t>FS</w:t>
            </w:r>
          </w:p>
          <w:p>
            <w:pPr>
              <w:spacing w:after="156" w:line="240" w:lineRule="auto"/>
              <w:ind w:firstLine="0" w:firstLineChars="0"/>
              <w:rPr>
                <w:spacing w:val="-3"/>
                <w:sz w:val="21"/>
                <w:szCs w:val="21"/>
              </w:rPr>
            </w:pPr>
            <w:r>
              <w:rPr>
                <w:rFonts w:hint="eastAsia"/>
                <w:sz w:val="21"/>
                <w:szCs w:val="21"/>
              </w:rPr>
              <w:t>采集频率：不低于1次/5min</w:t>
            </w:r>
            <w:r>
              <w:rPr>
                <w:rFonts w:hint="eastAsia"/>
                <w:spacing w:val="-3"/>
                <w:sz w:val="21"/>
                <w:szCs w:val="21"/>
              </w:rPr>
              <w:t>，采集频率可调</w:t>
            </w:r>
          </w:p>
          <w:p>
            <w:pPr>
              <w:spacing w:after="156" w:line="240" w:lineRule="auto"/>
              <w:ind w:firstLine="0" w:firstLineChars="0"/>
              <w:rPr>
                <w:spacing w:val="-3"/>
                <w:sz w:val="21"/>
                <w:szCs w:val="21"/>
              </w:rPr>
            </w:pPr>
            <w:r>
              <w:rPr>
                <w:rFonts w:hint="eastAsia"/>
                <w:sz w:val="21"/>
                <w:szCs w:val="21"/>
              </w:rPr>
              <w:t>上传频率：不低于1次/5min</w:t>
            </w:r>
            <w:r>
              <w:rPr>
                <w:rFonts w:hint="eastAsia"/>
                <w:spacing w:val="-3"/>
                <w:sz w:val="21"/>
                <w:szCs w:val="21"/>
              </w:rPr>
              <w:t>，上传频率可调</w:t>
            </w:r>
          </w:p>
          <w:p>
            <w:pPr>
              <w:spacing w:after="156" w:line="240" w:lineRule="auto"/>
              <w:ind w:firstLine="0" w:firstLineChars="0"/>
              <w:rPr>
                <w:sz w:val="21"/>
                <w:szCs w:val="21"/>
              </w:rPr>
            </w:pPr>
            <w:r>
              <w:rPr>
                <w:rFonts w:hint="eastAsia"/>
                <w:sz w:val="21"/>
                <w:szCs w:val="21"/>
              </w:rPr>
              <w:t>使用寿命：不少于</w:t>
            </w:r>
            <w:r>
              <w:rPr>
                <w:sz w:val="21"/>
                <w:szCs w:val="21"/>
              </w:rPr>
              <w:t>5</w:t>
            </w:r>
            <w:r>
              <w:rPr>
                <w:rFonts w:hint="eastAsia"/>
                <w:sz w:val="21"/>
                <w:szCs w:val="21"/>
              </w:rPr>
              <w:t>年</w:t>
            </w:r>
          </w:p>
          <w:p>
            <w:pPr>
              <w:spacing w:after="156" w:line="240" w:lineRule="auto"/>
              <w:ind w:firstLine="0" w:firstLineChars="0"/>
              <w:rPr>
                <w:sz w:val="21"/>
                <w:szCs w:val="21"/>
              </w:rPr>
            </w:pPr>
            <w:r>
              <w:rPr>
                <w:rFonts w:hint="eastAsia"/>
                <w:sz w:val="21"/>
                <w:szCs w:val="21"/>
              </w:rPr>
              <w:t>环境适用性：应具有防水、防尘、防腐等抗恶劣环境</w:t>
            </w:r>
          </w:p>
          <w:p>
            <w:pPr>
              <w:spacing w:after="156" w:line="240" w:lineRule="auto"/>
              <w:ind w:firstLine="0" w:firstLineChars="0"/>
              <w:rPr>
                <w:sz w:val="21"/>
                <w:szCs w:val="21"/>
                <w:lang w:eastAsia="en-US"/>
              </w:rPr>
            </w:pPr>
            <w:r>
              <w:rPr>
                <w:rFonts w:hint="eastAsia"/>
                <w:sz w:val="21"/>
                <w:szCs w:val="21"/>
                <w:lang w:eastAsia="en-US"/>
              </w:rPr>
              <w:t>性能</w:t>
            </w:r>
          </w:p>
        </w:tc>
        <w:tc>
          <w:tcPr>
            <w:tcW w:w="649" w:type="pct"/>
            <w:vAlign w:val="center"/>
          </w:tcPr>
          <w:p>
            <w:pPr>
              <w:spacing w:after="156" w:line="240" w:lineRule="auto"/>
              <w:ind w:firstLine="0" w:firstLineChars="0"/>
              <w:jc w:val="center"/>
              <w:rPr>
                <w:sz w:val="21"/>
                <w:szCs w:val="21"/>
                <w:lang w:eastAsia="en-US"/>
              </w:rPr>
            </w:pPr>
            <w:r>
              <w:rPr>
                <w:rFonts w:hint="eastAsia" w:ascii="仿宋" w:hAnsi="仿宋"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trPr>
        <w:tc>
          <w:tcPr>
            <w:tcW w:w="688" w:type="pct"/>
            <w:vMerge w:val="continue"/>
            <w:vAlign w:val="center"/>
          </w:tcPr>
          <w:p>
            <w:pPr>
              <w:spacing w:after="156" w:line="240" w:lineRule="auto"/>
              <w:ind w:firstLine="0" w:firstLineChars="0"/>
              <w:rPr>
                <w:sz w:val="21"/>
                <w:szCs w:val="21"/>
              </w:rPr>
            </w:pPr>
          </w:p>
        </w:tc>
        <w:tc>
          <w:tcPr>
            <w:tcW w:w="665" w:type="pct"/>
            <w:gridSpan w:val="2"/>
            <w:vAlign w:val="center"/>
          </w:tcPr>
          <w:p>
            <w:pPr>
              <w:spacing w:after="156" w:line="240" w:lineRule="auto"/>
              <w:ind w:firstLine="0" w:firstLineChars="0"/>
              <w:rPr>
                <w:sz w:val="21"/>
                <w:szCs w:val="21"/>
              </w:rPr>
            </w:pPr>
            <w:r>
              <w:rPr>
                <w:rFonts w:hint="eastAsia"/>
                <w:sz w:val="21"/>
                <w:szCs w:val="21"/>
              </w:rPr>
              <w:t>漏水声波</w:t>
            </w:r>
          </w:p>
        </w:tc>
        <w:tc>
          <w:tcPr>
            <w:tcW w:w="2998" w:type="pct"/>
            <w:gridSpan w:val="3"/>
            <w:vAlign w:val="center"/>
          </w:tcPr>
          <w:p>
            <w:pPr>
              <w:spacing w:after="156" w:line="240" w:lineRule="auto"/>
              <w:ind w:firstLine="0" w:firstLineChars="0"/>
              <w:rPr>
                <w:sz w:val="21"/>
                <w:szCs w:val="21"/>
              </w:rPr>
            </w:pPr>
            <w:r>
              <w:rPr>
                <w:rFonts w:hint="eastAsia"/>
                <w:sz w:val="21"/>
                <w:szCs w:val="21"/>
              </w:rPr>
              <w:t>使用寿命：不少于</w:t>
            </w:r>
            <w:r>
              <w:rPr>
                <w:sz w:val="21"/>
                <w:szCs w:val="21"/>
              </w:rPr>
              <w:t>5</w:t>
            </w:r>
            <w:r>
              <w:rPr>
                <w:rFonts w:hint="eastAsia"/>
                <w:sz w:val="21"/>
                <w:szCs w:val="21"/>
              </w:rPr>
              <w:t>年</w:t>
            </w:r>
          </w:p>
          <w:p>
            <w:pPr>
              <w:spacing w:after="156" w:line="240" w:lineRule="auto"/>
              <w:ind w:firstLine="0" w:firstLineChars="0"/>
              <w:rPr>
                <w:sz w:val="21"/>
                <w:szCs w:val="21"/>
              </w:rPr>
            </w:pPr>
            <w:r>
              <w:rPr>
                <w:rFonts w:hint="eastAsia"/>
                <w:sz w:val="21"/>
                <w:szCs w:val="21"/>
              </w:rPr>
              <w:t>采集频率：不低于1次/天</w:t>
            </w:r>
          </w:p>
          <w:p>
            <w:pPr>
              <w:spacing w:after="156" w:line="240" w:lineRule="auto"/>
              <w:ind w:firstLine="0" w:firstLineChars="0"/>
              <w:rPr>
                <w:sz w:val="21"/>
                <w:szCs w:val="21"/>
              </w:rPr>
            </w:pPr>
            <w:r>
              <w:rPr>
                <w:rFonts w:hint="eastAsia"/>
                <w:sz w:val="21"/>
                <w:szCs w:val="21"/>
              </w:rPr>
              <w:t>环境适用性：应具有防水、防尘、防腐等抗恶劣环境性能</w:t>
            </w:r>
          </w:p>
        </w:tc>
        <w:tc>
          <w:tcPr>
            <w:tcW w:w="649" w:type="pct"/>
            <w:vAlign w:val="center"/>
          </w:tcPr>
          <w:p>
            <w:pPr>
              <w:spacing w:after="156" w:line="240" w:lineRule="auto"/>
              <w:ind w:firstLine="0" w:firstLineChars="0"/>
              <w:jc w:val="center"/>
              <w:rPr>
                <w:sz w:val="21"/>
                <w:szCs w:val="21"/>
                <w:lang w:eastAsia="en-US"/>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6" w:hRule="atLeast"/>
        </w:trPr>
        <w:tc>
          <w:tcPr>
            <w:tcW w:w="688" w:type="pct"/>
            <w:vMerge w:val="continue"/>
            <w:vAlign w:val="center"/>
          </w:tcPr>
          <w:p>
            <w:pPr>
              <w:spacing w:after="156" w:line="240" w:lineRule="auto"/>
              <w:ind w:firstLine="0" w:firstLineChars="0"/>
              <w:rPr>
                <w:sz w:val="21"/>
                <w:szCs w:val="21"/>
              </w:rPr>
            </w:pPr>
          </w:p>
        </w:tc>
        <w:tc>
          <w:tcPr>
            <w:tcW w:w="269" w:type="pct"/>
            <w:vMerge w:val="restart"/>
            <w:vAlign w:val="center"/>
          </w:tcPr>
          <w:p>
            <w:pPr>
              <w:spacing w:after="156" w:line="240" w:lineRule="auto"/>
              <w:ind w:firstLine="0" w:firstLineChars="0"/>
              <w:rPr>
                <w:sz w:val="21"/>
                <w:szCs w:val="21"/>
              </w:rPr>
            </w:pPr>
            <w:r>
              <w:rPr>
                <w:rFonts w:hint="eastAsia"/>
                <w:sz w:val="21"/>
                <w:szCs w:val="21"/>
              </w:rPr>
              <w:t>水质</w:t>
            </w:r>
          </w:p>
        </w:tc>
        <w:tc>
          <w:tcPr>
            <w:tcW w:w="396" w:type="pct"/>
            <w:vAlign w:val="center"/>
          </w:tcPr>
          <w:p>
            <w:pPr>
              <w:spacing w:after="156" w:line="240" w:lineRule="auto"/>
              <w:ind w:firstLine="0" w:firstLineChars="0"/>
              <w:rPr>
                <w:sz w:val="21"/>
                <w:szCs w:val="21"/>
              </w:rPr>
            </w:pPr>
            <w:r>
              <w:rPr>
                <w:rFonts w:hint="eastAsia"/>
                <w:sz w:val="21"/>
                <w:szCs w:val="21"/>
              </w:rPr>
              <w:t>浑</w:t>
            </w:r>
          </w:p>
          <w:p>
            <w:pPr>
              <w:spacing w:after="156" w:line="240" w:lineRule="auto"/>
              <w:ind w:firstLine="0" w:firstLineChars="0"/>
              <w:rPr>
                <w:sz w:val="21"/>
                <w:szCs w:val="21"/>
              </w:rPr>
            </w:pPr>
            <w:r>
              <w:rPr>
                <w:rFonts w:hint="eastAsia"/>
                <w:sz w:val="21"/>
                <w:szCs w:val="21"/>
              </w:rPr>
              <w:t>浊</w:t>
            </w:r>
          </w:p>
          <w:p>
            <w:pPr>
              <w:spacing w:after="156" w:line="240" w:lineRule="auto"/>
              <w:ind w:firstLine="0" w:firstLineChars="0"/>
              <w:rPr>
                <w:sz w:val="21"/>
                <w:szCs w:val="21"/>
              </w:rPr>
            </w:pPr>
            <w:r>
              <w:rPr>
                <w:rFonts w:hint="eastAsia"/>
                <w:sz w:val="21"/>
                <w:szCs w:val="21"/>
              </w:rPr>
              <w:t>度</w:t>
            </w:r>
          </w:p>
        </w:tc>
        <w:tc>
          <w:tcPr>
            <w:tcW w:w="2998" w:type="pct"/>
            <w:gridSpan w:val="3"/>
            <w:vAlign w:val="center"/>
          </w:tcPr>
          <w:p>
            <w:pPr>
              <w:spacing w:after="156" w:line="240" w:lineRule="auto"/>
              <w:ind w:firstLine="0" w:firstLineChars="0"/>
              <w:rPr>
                <w:sz w:val="21"/>
                <w:szCs w:val="21"/>
              </w:rPr>
            </w:pPr>
            <w:r>
              <w:rPr>
                <w:rFonts w:hint="eastAsia"/>
                <w:sz w:val="21"/>
                <w:szCs w:val="21"/>
              </w:rPr>
              <w:t>量程：（0～20）NTU</w:t>
            </w:r>
          </w:p>
          <w:p>
            <w:pPr>
              <w:spacing w:after="156" w:line="240" w:lineRule="auto"/>
              <w:ind w:firstLine="0" w:firstLineChars="0"/>
              <w:rPr>
                <w:sz w:val="21"/>
                <w:szCs w:val="21"/>
              </w:rPr>
            </w:pPr>
            <w:r>
              <w:rPr>
                <w:rFonts w:hint="eastAsia"/>
                <w:sz w:val="21"/>
                <w:szCs w:val="21"/>
              </w:rPr>
              <w:t>响应时间：不超过0.5min</w:t>
            </w:r>
          </w:p>
          <w:p>
            <w:pPr>
              <w:spacing w:after="156" w:line="240" w:lineRule="auto"/>
              <w:ind w:firstLine="0" w:firstLineChars="0"/>
              <w:rPr>
                <w:sz w:val="21"/>
                <w:szCs w:val="21"/>
              </w:rPr>
            </w:pPr>
            <w:r>
              <w:rPr>
                <w:rFonts w:hint="eastAsia"/>
                <w:sz w:val="21"/>
                <w:szCs w:val="21"/>
              </w:rPr>
              <w:t>对比试验误差：±0.1NTU（标准样品配制值或实际水</w:t>
            </w:r>
            <w:r>
              <w:rPr>
                <w:rFonts w:hint="eastAsia"/>
                <w:spacing w:val="-5"/>
                <w:sz w:val="21"/>
                <w:szCs w:val="21"/>
              </w:rPr>
              <w:t>样的标准方法检测值不大于</w:t>
            </w:r>
            <w:r>
              <w:rPr>
                <w:rFonts w:hint="eastAsia"/>
                <w:sz w:val="21"/>
                <w:szCs w:val="21"/>
              </w:rPr>
              <w:t>1NTU时）</w:t>
            </w:r>
            <w:r>
              <w:rPr>
                <w:rFonts w:hint="eastAsia"/>
                <w:spacing w:val="-10"/>
                <w:sz w:val="21"/>
                <w:szCs w:val="21"/>
              </w:rPr>
              <w:t>或不大于</w:t>
            </w:r>
            <w:r>
              <w:rPr>
                <w:rFonts w:hint="eastAsia"/>
                <w:sz w:val="21"/>
                <w:szCs w:val="21"/>
              </w:rPr>
              <w:t>10%</w:t>
            </w:r>
            <w:r>
              <w:rPr>
                <w:rFonts w:hint="eastAsia"/>
                <w:spacing w:val="4"/>
                <w:sz w:val="21"/>
                <w:szCs w:val="21"/>
              </w:rPr>
              <w:t>（</w:t>
            </w:r>
            <w:r>
              <w:rPr>
                <w:rFonts w:hint="eastAsia"/>
                <w:sz w:val="21"/>
                <w:szCs w:val="21"/>
              </w:rPr>
              <w:t>标准样品配制值或实际水样的标准方法检测值大于1NTU时）</w:t>
            </w:r>
          </w:p>
        </w:tc>
        <w:tc>
          <w:tcPr>
            <w:tcW w:w="649" w:type="pct"/>
            <w:vAlign w:val="center"/>
          </w:tcPr>
          <w:p>
            <w:pPr>
              <w:spacing w:after="156" w:line="240" w:lineRule="auto"/>
              <w:ind w:firstLine="0" w:firstLineChars="0"/>
              <w:jc w:val="center"/>
              <w:rPr>
                <w:sz w:val="21"/>
                <w:szCs w:val="21"/>
              </w:rPr>
            </w:pPr>
            <w:r>
              <w:rPr>
                <w:rFonts w:hint="eastAsia" w:ascii="仿宋" w:hAnsi="仿宋"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688" w:type="pct"/>
            <w:vMerge w:val="continue"/>
            <w:vAlign w:val="center"/>
          </w:tcPr>
          <w:p>
            <w:pPr>
              <w:spacing w:after="156" w:line="240" w:lineRule="auto"/>
              <w:ind w:firstLine="0" w:firstLineChars="0"/>
              <w:rPr>
                <w:sz w:val="21"/>
                <w:szCs w:val="21"/>
              </w:rPr>
            </w:pPr>
          </w:p>
        </w:tc>
        <w:tc>
          <w:tcPr>
            <w:tcW w:w="269" w:type="pct"/>
            <w:vMerge w:val="continue"/>
            <w:vAlign w:val="center"/>
          </w:tcPr>
          <w:p>
            <w:pPr>
              <w:spacing w:after="156" w:line="240" w:lineRule="auto"/>
              <w:ind w:firstLine="0" w:firstLineChars="0"/>
              <w:rPr>
                <w:sz w:val="21"/>
                <w:szCs w:val="21"/>
              </w:rPr>
            </w:pPr>
          </w:p>
        </w:tc>
        <w:tc>
          <w:tcPr>
            <w:tcW w:w="396" w:type="pct"/>
            <w:vMerge w:val="restart"/>
            <w:vAlign w:val="center"/>
          </w:tcPr>
          <w:p>
            <w:pPr>
              <w:spacing w:after="156" w:line="240" w:lineRule="auto"/>
              <w:ind w:firstLine="0" w:firstLineChars="0"/>
              <w:rPr>
                <w:sz w:val="21"/>
                <w:szCs w:val="21"/>
              </w:rPr>
            </w:pPr>
            <w:r>
              <w:rPr>
                <w:rFonts w:hint="eastAsia"/>
                <w:sz w:val="21"/>
                <w:szCs w:val="21"/>
              </w:rPr>
              <w:t>余氯</w:t>
            </w:r>
          </w:p>
        </w:tc>
        <w:tc>
          <w:tcPr>
            <w:tcW w:w="778" w:type="pct"/>
            <w:vAlign w:val="center"/>
          </w:tcPr>
          <w:p>
            <w:pPr>
              <w:spacing w:after="156" w:line="240" w:lineRule="auto"/>
              <w:ind w:firstLine="0" w:firstLineChars="0"/>
              <w:rPr>
                <w:sz w:val="21"/>
                <w:szCs w:val="21"/>
                <w:lang w:eastAsia="en-US"/>
              </w:rPr>
            </w:pPr>
          </w:p>
        </w:tc>
        <w:tc>
          <w:tcPr>
            <w:tcW w:w="967" w:type="pct"/>
            <w:vAlign w:val="center"/>
          </w:tcPr>
          <w:p>
            <w:pPr>
              <w:spacing w:after="156" w:line="240" w:lineRule="auto"/>
              <w:ind w:firstLine="0" w:firstLineChars="0"/>
              <w:rPr>
                <w:sz w:val="21"/>
                <w:szCs w:val="21"/>
                <w:lang w:eastAsia="en-US"/>
              </w:rPr>
            </w:pPr>
            <w:r>
              <w:rPr>
                <w:rFonts w:hint="eastAsia"/>
                <w:sz w:val="21"/>
                <w:szCs w:val="21"/>
                <w:lang w:eastAsia="en-US"/>
              </w:rPr>
              <w:t>比色法</w:t>
            </w:r>
          </w:p>
        </w:tc>
        <w:tc>
          <w:tcPr>
            <w:tcW w:w="1253" w:type="pct"/>
            <w:vAlign w:val="center"/>
          </w:tcPr>
          <w:p>
            <w:pPr>
              <w:spacing w:after="156" w:line="240" w:lineRule="auto"/>
              <w:ind w:firstLine="0" w:firstLineChars="0"/>
              <w:rPr>
                <w:sz w:val="21"/>
                <w:szCs w:val="21"/>
                <w:lang w:eastAsia="en-US"/>
              </w:rPr>
            </w:pPr>
            <w:r>
              <w:rPr>
                <w:rFonts w:hint="eastAsia"/>
                <w:sz w:val="21"/>
                <w:szCs w:val="21"/>
                <w:lang w:eastAsia="en-US"/>
              </w:rPr>
              <w:t>电极法</w:t>
            </w:r>
          </w:p>
        </w:tc>
        <w:tc>
          <w:tcPr>
            <w:tcW w:w="649" w:type="pct"/>
            <w:vMerge w:val="restart"/>
            <w:vAlign w:val="center"/>
          </w:tcPr>
          <w:p>
            <w:pPr>
              <w:spacing w:after="156" w:line="240" w:lineRule="auto"/>
              <w:ind w:firstLine="0" w:firstLineChars="0"/>
              <w:jc w:val="center"/>
              <w:rPr>
                <w:sz w:val="21"/>
                <w:szCs w:val="21"/>
              </w:rPr>
            </w:pPr>
            <w:r>
              <w:rPr>
                <w:rFonts w:hint="eastAsia" w:ascii="仿宋" w:hAnsi="仿宋"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88" w:type="pct"/>
            <w:vMerge w:val="continue"/>
            <w:vAlign w:val="center"/>
          </w:tcPr>
          <w:p>
            <w:pPr>
              <w:spacing w:after="156" w:line="240" w:lineRule="auto"/>
              <w:ind w:firstLine="0" w:firstLineChars="0"/>
              <w:rPr>
                <w:sz w:val="21"/>
                <w:szCs w:val="21"/>
              </w:rPr>
            </w:pPr>
          </w:p>
        </w:tc>
        <w:tc>
          <w:tcPr>
            <w:tcW w:w="269" w:type="pct"/>
            <w:vMerge w:val="continue"/>
            <w:vAlign w:val="center"/>
          </w:tcPr>
          <w:p>
            <w:pPr>
              <w:spacing w:after="156" w:line="240" w:lineRule="auto"/>
              <w:ind w:firstLine="0" w:firstLineChars="0"/>
              <w:rPr>
                <w:sz w:val="21"/>
                <w:szCs w:val="21"/>
              </w:rPr>
            </w:pPr>
          </w:p>
        </w:tc>
        <w:tc>
          <w:tcPr>
            <w:tcW w:w="396" w:type="pct"/>
            <w:vMerge w:val="continue"/>
            <w:vAlign w:val="center"/>
          </w:tcPr>
          <w:p>
            <w:pPr>
              <w:spacing w:after="156" w:line="240" w:lineRule="auto"/>
              <w:ind w:firstLine="0" w:firstLineChars="0"/>
              <w:rPr>
                <w:sz w:val="21"/>
                <w:szCs w:val="21"/>
              </w:rPr>
            </w:pPr>
          </w:p>
        </w:tc>
        <w:tc>
          <w:tcPr>
            <w:tcW w:w="778" w:type="pct"/>
            <w:vAlign w:val="center"/>
          </w:tcPr>
          <w:p>
            <w:pPr>
              <w:spacing w:after="156" w:line="240" w:lineRule="auto"/>
              <w:ind w:firstLine="0" w:firstLineChars="0"/>
              <w:rPr>
                <w:sz w:val="21"/>
                <w:szCs w:val="21"/>
                <w:lang w:eastAsia="en-US"/>
              </w:rPr>
            </w:pPr>
            <w:r>
              <w:rPr>
                <w:rFonts w:hint="eastAsia"/>
                <w:sz w:val="21"/>
                <w:szCs w:val="21"/>
                <w:lang w:eastAsia="en-US"/>
              </w:rPr>
              <w:t>量程</w:t>
            </w:r>
          </w:p>
        </w:tc>
        <w:tc>
          <w:tcPr>
            <w:tcW w:w="2220" w:type="pct"/>
            <w:gridSpan w:val="2"/>
            <w:vAlign w:val="center"/>
          </w:tcPr>
          <w:p>
            <w:pPr>
              <w:spacing w:after="156" w:line="240" w:lineRule="auto"/>
              <w:ind w:firstLine="0" w:firstLineChars="0"/>
              <w:rPr>
                <w:sz w:val="21"/>
                <w:szCs w:val="21"/>
                <w:lang w:eastAsia="en-US"/>
              </w:rPr>
            </w:pPr>
            <w:r>
              <w:rPr>
                <w:rFonts w:hint="eastAsia"/>
                <w:sz w:val="21"/>
                <w:szCs w:val="21"/>
                <w:lang w:eastAsia="en-US"/>
              </w:rPr>
              <w:t>（0～5）mg/L</w:t>
            </w:r>
          </w:p>
        </w:tc>
        <w:tc>
          <w:tcPr>
            <w:tcW w:w="649" w:type="pct"/>
            <w:vMerge w:val="continue"/>
            <w:vAlign w:val="center"/>
          </w:tcPr>
          <w:p>
            <w:pPr>
              <w:spacing w:after="156" w:line="240" w:lineRule="auto"/>
              <w:ind w:firstLine="0" w:firstLineChars="0"/>
              <w:jc w:val="center"/>
              <w:rPr>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688" w:type="pct"/>
            <w:vMerge w:val="continue"/>
            <w:vAlign w:val="center"/>
          </w:tcPr>
          <w:p>
            <w:pPr>
              <w:spacing w:after="156" w:line="240" w:lineRule="auto"/>
              <w:ind w:firstLine="0" w:firstLineChars="0"/>
              <w:rPr>
                <w:sz w:val="21"/>
                <w:szCs w:val="21"/>
              </w:rPr>
            </w:pPr>
          </w:p>
        </w:tc>
        <w:tc>
          <w:tcPr>
            <w:tcW w:w="269" w:type="pct"/>
            <w:vMerge w:val="continue"/>
            <w:vAlign w:val="center"/>
          </w:tcPr>
          <w:p>
            <w:pPr>
              <w:spacing w:after="156" w:line="240" w:lineRule="auto"/>
              <w:ind w:firstLine="0" w:firstLineChars="0"/>
              <w:rPr>
                <w:sz w:val="21"/>
                <w:szCs w:val="21"/>
              </w:rPr>
            </w:pPr>
          </w:p>
        </w:tc>
        <w:tc>
          <w:tcPr>
            <w:tcW w:w="396" w:type="pct"/>
            <w:vMerge w:val="continue"/>
            <w:vAlign w:val="center"/>
          </w:tcPr>
          <w:p>
            <w:pPr>
              <w:spacing w:after="156" w:line="240" w:lineRule="auto"/>
              <w:ind w:firstLine="0" w:firstLineChars="0"/>
              <w:rPr>
                <w:sz w:val="21"/>
                <w:szCs w:val="21"/>
              </w:rPr>
            </w:pPr>
          </w:p>
        </w:tc>
        <w:tc>
          <w:tcPr>
            <w:tcW w:w="778" w:type="pct"/>
            <w:vAlign w:val="center"/>
          </w:tcPr>
          <w:p>
            <w:pPr>
              <w:spacing w:after="156" w:line="240" w:lineRule="auto"/>
              <w:ind w:firstLine="0" w:firstLineChars="0"/>
              <w:rPr>
                <w:sz w:val="21"/>
                <w:szCs w:val="21"/>
                <w:lang w:eastAsia="en-US"/>
              </w:rPr>
            </w:pPr>
            <w:r>
              <w:rPr>
                <w:rFonts w:hint="eastAsia"/>
                <w:sz w:val="21"/>
                <w:szCs w:val="21"/>
                <w:lang w:eastAsia="en-US"/>
              </w:rPr>
              <w:t>重复性</w:t>
            </w:r>
          </w:p>
        </w:tc>
        <w:tc>
          <w:tcPr>
            <w:tcW w:w="967" w:type="pct"/>
            <w:vAlign w:val="center"/>
          </w:tcPr>
          <w:p>
            <w:pPr>
              <w:spacing w:after="156" w:line="240" w:lineRule="auto"/>
              <w:ind w:firstLine="0" w:firstLineChars="0"/>
              <w:rPr>
                <w:sz w:val="21"/>
                <w:szCs w:val="21"/>
                <w:lang w:eastAsia="en-US"/>
              </w:rPr>
            </w:pPr>
            <w:r>
              <w:rPr>
                <w:rFonts w:hint="eastAsia"/>
                <w:sz w:val="21"/>
                <w:szCs w:val="21"/>
                <w:lang w:eastAsia="en-US"/>
              </w:rPr>
              <w:t>不超过5%</w:t>
            </w:r>
          </w:p>
        </w:tc>
        <w:tc>
          <w:tcPr>
            <w:tcW w:w="1253" w:type="pct"/>
            <w:vAlign w:val="center"/>
          </w:tcPr>
          <w:p>
            <w:pPr>
              <w:spacing w:after="156" w:line="240" w:lineRule="auto"/>
              <w:ind w:firstLine="0" w:firstLineChars="0"/>
              <w:rPr>
                <w:sz w:val="21"/>
                <w:szCs w:val="21"/>
                <w:lang w:eastAsia="en-US"/>
              </w:rPr>
            </w:pPr>
            <w:r>
              <w:rPr>
                <w:rFonts w:hint="eastAsia"/>
                <w:sz w:val="21"/>
                <w:szCs w:val="21"/>
                <w:lang w:eastAsia="en-US"/>
              </w:rPr>
              <w:t>不超过3%</w:t>
            </w:r>
          </w:p>
        </w:tc>
        <w:tc>
          <w:tcPr>
            <w:tcW w:w="649" w:type="pct"/>
            <w:vMerge w:val="continue"/>
            <w:vAlign w:val="center"/>
          </w:tcPr>
          <w:p>
            <w:pPr>
              <w:spacing w:after="156" w:line="240" w:lineRule="auto"/>
              <w:ind w:firstLine="0" w:firstLineChars="0"/>
              <w:jc w:val="center"/>
              <w:rPr>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688" w:type="pct"/>
            <w:vMerge w:val="continue"/>
            <w:vAlign w:val="center"/>
          </w:tcPr>
          <w:p>
            <w:pPr>
              <w:spacing w:after="156" w:line="240" w:lineRule="auto"/>
              <w:ind w:firstLine="0" w:firstLineChars="0"/>
              <w:rPr>
                <w:sz w:val="21"/>
                <w:szCs w:val="21"/>
              </w:rPr>
            </w:pPr>
          </w:p>
        </w:tc>
        <w:tc>
          <w:tcPr>
            <w:tcW w:w="269" w:type="pct"/>
            <w:vMerge w:val="continue"/>
            <w:vAlign w:val="center"/>
          </w:tcPr>
          <w:p>
            <w:pPr>
              <w:spacing w:after="156" w:line="240" w:lineRule="auto"/>
              <w:ind w:firstLine="0" w:firstLineChars="0"/>
              <w:rPr>
                <w:sz w:val="21"/>
                <w:szCs w:val="21"/>
              </w:rPr>
            </w:pPr>
          </w:p>
        </w:tc>
        <w:tc>
          <w:tcPr>
            <w:tcW w:w="396" w:type="pct"/>
            <w:vMerge w:val="continue"/>
            <w:vAlign w:val="center"/>
          </w:tcPr>
          <w:p>
            <w:pPr>
              <w:spacing w:after="156" w:line="240" w:lineRule="auto"/>
              <w:ind w:firstLine="0" w:firstLineChars="0"/>
              <w:rPr>
                <w:sz w:val="21"/>
                <w:szCs w:val="21"/>
              </w:rPr>
            </w:pPr>
          </w:p>
        </w:tc>
        <w:tc>
          <w:tcPr>
            <w:tcW w:w="778" w:type="pct"/>
            <w:vAlign w:val="center"/>
          </w:tcPr>
          <w:p>
            <w:pPr>
              <w:spacing w:after="156" w:line="240" w:lineRule="auto"/>
              <w:ind w:firstLine="0" w:firstLineChars="0"/>
              <w:rPr>
                <w:sz w:val="21"/>
                <w:szCs w:val="21"/>
                <w:lang w:eastAsia="en-US"/>
              </w:rPr>
            </w:pPr>
            <w:r>
              <w:rPr>
                <w:rFonts w:hint="eastAsia"/>
                <w:sz w:val="21"/>
                <w:szCs w:val="21"/>
                <w:lang w:eastAsia="en-US"/>
              </w:rPr>
              <w:t>零点漂移</w:t>
            </w:r>
          </w:p>
        </w:tc>
        <w:tc>
          <w:tcPr>
            <w:tcW w:w="2220" w:type="pct"/>
            <w:gridSpan w:val="2"/>
            <w:vAlign w:val="center"/>
          </w:tcPr>
          <w:p>
            <w:pPr>
              <w:spacing w:after="156" w:line="240" w:lineRule="auto"/>
              <w:ind w:firstLine="0" w:firstLineChars="0"/>
              <w:rPr>
                <w:sz w:val="21"/>
                <w:szCs w:val="21"/>
                <w:lang w:eastAsia="en-US"/>
              </w:rPr>
            </w:pPr>
            <w:r>
              <w:rPr>
                <w:rFonts w:hint="eastAsia"/>
                <w:sz w:val="21"/>
                <w:szCs w:val="21"/>
                <w:lang w:eastAsia="en-US"/>
              </w:rPr>
              <w:t>±</w:t>
            </w:r>
            <w:r>
              <w:rPr>
                <w:rFonts w:hint="eastAsia"/>
                <w:sz w:val="21"/>
                <w:szCs w:val="21"/>
              </w:rPr>
              <w:t>5</w:t>
            </w:r>
            <w:r>
              <w:rPr>
                <w:rFonts w:hint="eastAsia"/>
                <w:sz w:val="21"/>
                <w:szCs w:val="21"/>
                <w:lang w:eastAsia="en-US"/>
              </w:rPr>
              <w:t>%</w:t>
            </w:r>
          </w:p>
        </w:tc>
        <w:tc>
          <w:tcPr>
            <w:tcW w:w="649" w:type="pct"/>
            <w:vMerge w:val="continue"/>
            <w:vAlign w:val="center"/>
          </w:tcPr>
          <w:p>
            <w:pPr>
              <w:spacing w:after="156" w:line="240" w:lineRule="auto"/>
              <w:ind w:firstLine="0" w:firstLineChars="0"/>
              <w:jc w:val="center"/>
              <w:rPr>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88" w:type="pct"/>
            <w:vMerge w:val="continue"/>
            <w:vAlign w:val="center"/>
          </w:tcPr>
          <w:p>
            <w:pPr>
              <w:spacing w:after="156" w:line="240" w:lineRule="auto"/>
              <w:ind w:firstLine="0" w:firstLineChars="0"/>
              <w:rPr>
                <w:sz w:val="21"/>
                <w:szCs w:val="21"/>
              </w:rPr>
            </w:pPr>
          </w:p>
        </w:tc>
        <w:tc>
          <w:tcPr>
            <w:tcW w:w="269" w:type="pct"/>
            <w:vMerge w:val="continue"/>
            <w:vAlign w:val="center"/>
          </w:tcPr>
          <w:p>
            <w:pPr>
              <w:spacing w:after="156" w:line="240" w:lineRule="auto"/>
              <w:ind w:firstLine="0" w:firstLineChars="0"/>
              <w:rPr>
                <w:sz w:val="21"/>
                <w:szCs w:val="21"/>
              </w:rPr>
            </w:pPr>
          </w:p>
        </w:tc>
        <w:tc>
          <w:tcPr>
            <w:tcW w:w="396" w:type="pct"/>
            <w:vMerge w:val="continue"/>
            <w:vAlign w:val="center"/>
          </w:tcPr>
          <w:p>
            <w:pPr>
              <w:spacing w:after="156" w:line="240" w:lineRule="auto"/>
              <w:ind w:firstLine="0" w:firstLineChars="0"/>
              <w:rPr>
                <w:sz w:val="21"/>
                <w:szCs w:val="21"/>
              </w:rPr>
            </w:pPr>
          </w:p>
        </w:tc>
        <w:tc>
          <w:tcPr>
            <w:tcW w:w="778" w:type="pct"/>
            <w:vAlign w:val="center"/>
          </w:tcPr>
          <w:p>
            <w:pPr>
              <w:spacing w:after="156" w:line="240" w:lineRule="auto"/>
              <w:ind w:firstLine="0" w:firstLineChars="0"/>
              <w:rPr>
                <w:sz w:val="21"/>
                <w:szCs w:val="21"/>
                <w:lang w:eastAsia="en-US"/>
              </w:rPr>
            </w:pPr>
            <w:r>
              <w:rPr>
                <w:rFonts w:hint="eastAsia"/>
                <w:sz w:val="21"/>
                <w:szCs w:val="21"/>
                <w:lang w:eastAsia="en-US"/>
              </w:rPr>
              <w:t>响应时间</w:t>
            </w:r>
          </w:p>
        </w:tc>
        <w:tc>
          <w:tcPr>
            <w:tcW w:w="2220" w:type="pct"/>
            <w:gridSpan w:val="2"/>
            <w:vAlign w:val="center"/>
          </w:tcPr>
          <w:p>
            <w:pPr>
              <w:spacing w:after="156" w:line="240" w:lineRule="auto"/>
              <w:ind w:firstLine="0" w:firstLineChars="0"/>
              <w:rPr>
                <w:sz w:val="21"/>
                <w:szCs w:val="21"/>
                <w:lang w:eastAsia="en-US"/>
              </w:rPr>
            </w:pPr>
            <w:r>
              <w:rPr>
                <w:rFonts w:hint="eastAsia"/>
                <w:sz w:val="21"/>
                <w:szCs w:val="21"/>
                <w:lang w:eastAsia="en-US"/>
              </w:rPr>
              <w:t>不超过2.5min</w:t>
            </w:r>
          </w:p>
        </w:tc>
        <w:tc>
          <w:tcPr>
            <w:tcW w:w="649" w:type="pct"/>
            <w:vMerge w:val="continue"/>
            <w:vAlign w:val="center"/>
          </w:tcPr>
          <w:p>
            <w:pPr>
              <w:spacing w:after="156" w:line="240" w:lineRule="auto"/>
              <w:ind w:firstLine="0" w:firstLineChars="0"/>
              <w:jc w:val="center"/>
              <w:rPr>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88" w:type="pct"/>
            <w:vMerge w:val="continue"/>
            <w:vAlign w:val="center"/>
          </w:tcPr>
          <w:p>
            <w:pPr>
              <w:spacing w:after="156" w:line="240" w:lineRule="auto"/>
              <w:ind w:firstLine="0" w:firstLineChars="0"/>
              <w:rPr>
                <w:sz w:val="21"/>
                <w:szCs w:val="21"/>
              </w:rPr>
            </w:pPr>
          </w:p>
        </w:tc>
        <w:tc>
          <w:tcPr>
            <w:tcW w:w="269" w:type="pct"/>
            <w:vMerge w:val="continue"/>
            <w:vAlign w:val="center"/>
          </w:tcPr>
          <w:p>
            <w:pPr>
              <w:spacing w:after="156" w:line="240" w:lineRule="auto"/>
              <w:ind w:firstLine="0" w:firstLineChars="0"/>
              <w:rPr>
                <w:sz w:val="21"/>
                <w:szCs w:val="21"/>
              </w:rPr>
            </w:pPr>
          </w:p>
        </w:tc>
        <w:tc>
          <w:tcPr>
            <w:tcW w:w="396" w:type="pct"/>
            <w:vMerge w:val="continue"/>
            <w:vAlign w:val="center"/>
          </w:tcPr>
          <w:p>
            <w:pPr>
              <w:spacing w:after="156" w:line="240" w:lineRule="auto"/>
              <w:ind w:firstLine="0" w:firstLineChars="0"/>
              <w:rPr>
                <w:sz w:val="21"/>
                <w:szCs w:val="21"/>
              </w:rPr>
            </w:pPr>
          </w:p>
        </w:tc>
        <w:tc>
          <w:tcPr>
            <w:tcW w:w="778" w:type="pct"/>
            <w:vAlign w:val="center"/>
          </w:tcPr>
          <w:p>
            <w:pPr>
              <w:spacing w:after="156" w:line="240" w:lineRule="auto"/>
              <w:ind w:firstLine="0" w:firstLineChars="0"/>
              <w:rPr>
                <w:sz w:val="21"/>
                <w:szCs w:val="21"/>
                <w:lang w:eastAsia="en-US"/>
              </w:rPr>
            </w:pPr>
            <w:r>
              <w:rPr>
                <w:rFonts w:hint="eastAsia"/>
                <w:sz w:val="21"/>
                <w:szCs w:val="21"/>
                <w:lang w:eastAsia="en-US"/>
              </w:rPr>
              <w:t>测定下限</w:t>
            </w:r>
          </w:p>
        </w:tc>
        <w:tc>
          <w:tcPr>
            <w:tcW w:w="967" w:type="pct"/>
            <w:vAlign w:val="center"/>
          </w:tcPr>
          <w:p>
            <w:pPr>
              <w:spacing w:after="156" w:line="240" w:lineRule="auto"/>
              <w:ind w:firstLine="0" w:firstLineChars="0"/>
              <w:rPr>
                <w:sz w:val="21"/>
                <w:szCs w:val="21"/>
                <w:lang w:eastAsia="en-US"/>
              </w:rPr>
            </w:pPr>
            <w:r>
              <w:rPr>
                <w:rFonts w:hint="eastAsia"/>
                <w:sz w:val="21"/>
                <w:szCs w:val="21"/>
                <w:lang w:eastAsia="en-US"/>
              </w:rPr>
              <w:t>0.01mg/L</w:t>
            </w:r>
          </w:p>
        </w:tc>
        <w:tc>
          <w:tcPr>
            <w:tcW w:w="1253" w:type="pct"/>
            <w:vAlign w:val="center"/>
          </w:tcPr>
          <w:p>
            <w:pPr>
              <w:spacing w:after="156" w:line="240" w:lineRule="auto"/>
              <w:ind w:firstLine="0" w:firstLineChars="0"/>
              <w:rPr>
                <w:sz w:val="21"/>
                <w:szCs w:val="21"/>
                <w:lang w:eastAsia="en-US"/>
              </w:rPr>
            </w:pPr>
            <w:r>
              <w:rPr>
                <w:rFonts w:hint="eastAsia"/>
                <w:sz w:val="21"/>
                <w:szCs w:val="21"/>
                <w:lang w:eastAsia="en-US"/>
              </w:rPr>
              <w:t>0.02mg/L</w:t>
            </w:r>
          </w:p>
        </w:tc>
        <w:tc>
          <w:tcPr>
            <w:tcW w:w="649" w:type="pct"/>
            <w:vMerge w:val="continue"/>
            <w:vAlign w:val="center"/>
          </w:tcPr>
          <w:p>
            <w:pPr>
              <w:spacing w:after="156" w:line="240" w:lineRule="auto"/>
              <w:ind w:firstLine="0" w:firstLineChars="0"/>
              <w:jc w:val="center"/>
              <w:rPr>
                <w:sz w:val="21"/>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88" w:type="pct"/>
            <w:vMerge w:val="continue"/>
            <w:vAlign w:val="center"/>
          </w:tcPr>
          <w:p>
            <w:pPr>
              <w:spacing w:after="156" w:line="240" w:lineRule="auto"/>
              <w:ind w:firstLine="0" w:firstLineChars="0"/>
              <w:rPr>
                <w:sz w:val="21"/>
                <w:szCs w:val="21"/>
              </w:rPr>
            </w:pPr>
          </w:p>
        </w:tc>
        <w:tc>
          <w:tcPr>
            <w:tcW w:w="269" w:type="pct"/>
            <w:vMerge w:val="continue"/>
            <w:vAlign w:val="center"/>
          </w:tcPr>
          <w:p>
            <w:pPr>
              <w:spacing w:after="156" w:line="240" w:lineRule="auto"/>
              <w:ind w:firstLine="0" w:firstLineChars="0"/>
              <w:rPr>
                <w:sz w:val="21"/>
                <w:szCs w:val="21"/>
              </w:rPr>
            </w:pPr>
          </w:p>
        </w:tc>
        <w:tc>
          <w:tcPr>
            <w:tcW w:w="396" w:type="pct"/>
            <w:vMerge w:val="continue"/>
            <w:vAlign w:val="center"/>
          </w:tcPr>
          <w:p>
            <w:pPr>
              <w:spacing w:after="156" w:line="240" w:lineRule="auto"/>
              <w:ind w:firstLine="0" w:firstLineChars="0"/>
              <w:rPr>
                <w:sz w:val="21"/>
                <w:szCs w:val="21"/>
              </w:rPr>
            </w:pPr>
          </w:p>
        </w:tc>
        <w:tc>
          <w:tcPr>
            <w:tcW w:w="778" w:type="pct"/>
            <w:vAlign w:val="center"/>
          </w:tcPr>
          <w:p>
            <w:pPr>
              <w:spacing w:after="156" w:line="240" w:lineRule="auto"/>
              <w:ind w:firstLine="0" w:firstLineChars="0"/>
              <w:rPr>
                <w:sz w:val="21"/>
                <w:szCs w:val="21"/>
                <w:lang w:eastAsia="en-US"/>
              </w:rPr>
            </w:pPr>
            <w:r>
              <w:rPr>
                <w:rFonts w:hint="eastAsia"/>
                <w:sz w:val="21"/>
                <w:szCs w:val="21"/>
                <w:lang w:eastAsia="en-US"/>
              </w:rPr>
              <w:t>比对试验误差</w:t>
            </w:r>
          </w:p>
        </w:tc>
        <w:tc>
          <w:tcPr>
            <w:tcW w:w="2220" w:type="pct"/>
            <w:gridSpan w:val="2"/>
            <w:vAlign w:val="center"/>
          </w:tcPr>
          <w:p>
            <w:pPr>
              <w:spacing w:after="156" w:line="240" w:lineRule="auto"/>
              <w:ind w:firstLine="0" w:firstLineChars="0"/>
              <w:rPr>
                <w:sz w:val="21"/>
                <w:szCs w:val="21"/>
              </w:rPr>
            </w:pPr>
            <w:r>
              <w:rPr>
                <w:rFonts w:hint="eastAsia"/>
                <w:sz w:val="21"/>
                <w:szCs w:val="21"/>
              </w:rPr>
              <w:t>±0.01mg/L（实际水样的标准方法监测值</w:t>
            </w:r>
          </w:p>
          <w:p>
            <w:pPr>
              <w:spacing w:after="156" w:line="240" w:lineRule="auto"/>
              <w:ind w:firstLine="0" w:firstLineChars="0"/>
              <w:rPr>
                <w:sz w:val="21"/>
                <w:szCs w:val="21"/>
              </w:rPr>
            </w:pPr>
            <w:r>
              <w:rPr>
                <w:rFonts w:hint="eastAsia"/>
                <w:sz w:val="21"/>
                <w:szCs w:val="21"/>
              </w:rPr>
              <w:t>≤0.1mg/L时）；小于10%（实际水样的标准方法检测值＞0.1mg/L时）</w:t>
            </w:r>
          </w:p>
        </w:tc>
        <w:tc>
          <w:tcPr>
            <w:tcW w:w="649" w:type="pct"/>
            <w:vMerge w:val="continue"/>
            <w:vAlign w:val="center"/>
          </w:tcPr>
          <w:p>
            <w:pPr>
              <w:spacing w:after="156"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88" w:type="pct"/>
            <w:vMerge w:val="continue"/>
            <w:vAlign w:val="center"/>
          </w:tcPr>
          <w:p>
            <w:pPr>
              <w:spacing w:after="156" w:line="240" w:lineRule="auto"/>
              <w:ind w:firstLine="0" w:firstLineChars="0"/>
              <w:rPr>
                <w:sz w:val="21"/>
                <w:szCs w:val="21"/>
              </w:rPr>
            </w:pPr>
          </w:p>
        </w:tc>
        <w:tc>
          <w:tcPr>
            <w:tcW w:w="269" w:type="pct"/>
            <w:vMerge w:val="continue"/>
            <w:vAlign w:val="center"/>
          </w:tcPr>
          <w:p>
            <w:pPr>
              <w:spacing w:after="156" w:line="240" w:lineRule="auto"/>
              <w:ind w:firstLine="0" w:firstLineChars="0"/>
              <w:rPr>
                <w:sz w:val="21"/>
                <w:szCs w:val="21"/>
              </w:rPr>
            </w:pPr>
          </w:p>
        </w:tc>
        <w:tc>
          <w:tcPr>
            <w:tcW w:w="396" w:type="pct"/>
            <w:vAlign w:val="center"/>
          </w:tcPr>
          <w:p>
            <w:pPr>
              <w:spacing w:after="156" w:line="240" w:lineRule="auto"/>
              <w:ind w:firstLine="0" w:firstLineChars="0"/>
              <w:rPr>
                <w:sz w:val="21"/>
                <w:szCs w:val="21"/>
              </w:rPr>
            </w:pPr>
            <w:r>
              <w:rPr>
                <w:rFonts w:hint="eastAsia"/>
                <w:sz w:val="21"/>
                <w:szCs w:val="21"/>
              </w:rPr>
              <w:t>pH</w:t>
            </w:r>
          </w:p>
        </w:tc>
        <w:tc>
          <w:tcPr>
            <w:tcW w:w="2998" w:type="pct"/>
            <w:gridSpan w:val="3"/>
            <w:vAlign w:val="center"/>
          </w:tcPr>
          <w:p>
            <w:pPr>
              <w:spacing w:after="156" w:line="240" w:lineRule="auto"/>
              <w:ind w:firstLine="0" w:firstLineChars="0"/>
              <w:rPr>
                <w:sz w:val="21"/>
                <w:szCs w:val="21"/>
              </w:rPr>
            </w:pPr>
            <w:r>
              <w:rPr>
                <w:rFonts w:hint="eastAsia" w:cs="仿宋"/>
                <w:kern w:val="0"/>
                <w:sz w:val="21"/>
                <w:szCs w:val="21"/>
              </w:rPr>
              <w:t>量程：</w:t>
            </w:r>
            <w:r>
              <w:rPr>
                <w:rFonts w:hint="eastAsia"/>
                <w:sz w:val="21"/>
                <w:szCs w:val="21"/>
              </w:rPr>
              <w:t>4~10</w:t>
            </w:r>
          </w:p>
          <w:p>
            <w:pPr>
              <w:spacing w:after="156" w:line="240" w:lineRule="auto"/>
              <w:ind w:firstLine="0" w:firstLineChars="0"/>
              <w:rPr>
                <w:rFonts w:cs="仿宋"/>
                <w:kern w:val="0"/>
                <w:sz w:val="21"/>
                <w:szCs w:val="21"/>
              </w:rPr>
            </w:pPr>
            <w:r>
              <w:rPr>
                <w:rFonts w:hint="eastAsia"/>
                <w:sz w:val="21"/>
                <w:szCs w:val="21"/>
              </w:rPr>
              <w:t>精度：±0.1</w:t>
            </w:r>
          </w:p>
        </w:tc>
        <w:tc>
          <w:tcPr>
            <w:tcW w:w="649" w:type="pct"/>
            <w:vAlign w:val="center"/>
          </w:tcPr>
          <w:p>
            <w:pPr>
              <w:spacing w:after="156" w:line="240" w:lineRule="auto"/>
              <w:ind w:firstLine="0" w:firstLineChars="0"/>
              <w:jc w:val="center"/>
              <w:rPr>
                <w:sz w:val="21"/>
                <w:szCs w:val="21"/>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88" w:type="pct"/>
            <w:vMerge w:val="continue"/>
            <w:vAlign w:val="center"/>
          </w:tcPr>
          <w:p>
            <w:pPr>
              <w:spacing w:after="156" w:line="240" w:lineRule="auto"/>
              <w:ind w:firstLine="0" w:firstLineChars="0"/>
              <w:rPr>
                <w:sz w:val="21"/>
                <w:szCs w:val="21"/>
              </w:rPr>
            </w:pPr>
          </w:p>
        </w:tc>
        <w:tc>
          <w:tcPr>
            <w:tcW w:w="269" w:type="pct"/>
            <w:vMerge w:val="continue"/>
            <w:vAlign w:val="center"/>
          </w:tcPr>
          <w:p>
            <w:pPr>
              <w:spacing w:after="156" w:line="240" w:lineRule="auto"/>
              <w:ind w:firstLine="0" w:firstLineChars="0"/>
              <w:rPr>
                <w:sz w:val="21"/>
                <w:szCs w:val="21"/>
              </w:rPr>
            </w:pPr>
          </w:p>
        </w:tc>
        <w:tc>
          <w:tcPr>
            <w:tcW w:w="396" w:type="pct"/>
            <w:vAlign w:val="center"/>
          </w:tcPr>
          <w:p>
            <w:pPr>
              <w:spacing w:after="156" w:line="240" w:lineRule="auto"/>
              <w:ind w:firstLine="0" w:firstLineChars="0"/>
              <w:rPr>
                <w:sz w:val="21"/>
                <w:szCs w:val="21"/>
              </w:rPr>
            </w:pPr>
            <w:r>
              <w:rPr>
                <w:rFonts w:hint="eastAsia"/>
                <w:sz w:val="21"/>
                <w:szCs w:val="21"/>
              </w:rPr>
              <w:t>温度</w:t>
            </w:r>
          </w:p>
        </w:tc>
        <w:tc>
          <w:tcPr>
            <w:tcW w:w="2998" w:type="pct"/>
            <w:gridSpan w:val="3"/>
            <w:vAlign w:val="center"/>
          </w:tcPr>
          <w:p>
            <w:pPr>
              <w:spacing w:after="156" w:line="240" w:lineRule="auto"/>
              <w:ind w:firstLine="0" w:firstLineChars="0"/>
              <w:rPr>
                <w:sz w:val="21"/>
                <w:szCs w:val="21"/>
              </w:rPr>
            </w:pPr>
            <w:r>
              <w:rPr>
                <w:rFonts w:hint="eastAsia"/>
                <w:sz w:val="21"/>
                <w:szCs w:val="21"/>
              </w:rPr>
              <w:t>量程：0~50℃</w:t>
            </w:r>
          </w:p>
          <w:p>
            <w:pPr>
              <w:spacing w:after="156" w:line="240" w:lineRule="auto"/>
              <w:ind w:firstLine="0" w:firstLineChars="0"/>
              <w:rPr>
                <w:sz w:val="21"/>
                <w:szCs w:val="21"/>
              </w:rPr>
            </w:pPr>
            <w:r>
              <w:rPr>
                <w:rFonts w:hint="eastAsia"/>
                <w:sz w:val="21"/>
                <w:szCs w:val="21"/>
              </w:rPr>
              <w:t>精度：±0.5℃</w:t>
            </w:r>
          </w:p>
        </w:tc>
        <w:tc>
          <w:tcPr>
            <w:tcW w:w="649" w:type="pct"/>
            <w:vAlign w:val="center"/>
          </w:tcPr>
          <w:p>
            <w:pPr>
              <w:spacing w:after="156" w:line="240" w:lineRule="auto"/>
              <w:ind w:firstLine="0" w:firstLineChars="0"/>
              <w:jc w:val="center"/>
              <w:rPr>
                <w:sz w:val="21"/>
                <w:szCs w:val="21"/>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88" w:type="pct"/>
            <w:vAlign w:val="center"/>
          </w:tcPr>
          <w:p>
            <w:pPr>
              <w:spacing w:after="156" w:line="240" w:lineRule="auto"/>
              <w:ind w:firstLine="0" w:firstLineChars="0"/>
              <w:rPr>
                <w:sz w:val="21"/>
                <w:szCs w:val="21"/>
              </w:rPr>
            </w:pPr>
            <w:r>
              <w:rPr>
                <w:rFonts w:hint="eastAsia"/>
                <w:sz w:val="21"/>
                <w:szCs w:val="21"/>
              </w:rPr>
              <w:t>原水管网</w:t>
            </w:r>
          </w:p>
        </w:tc>
        <w:tc>
          <w:tcPr>
            <w:tcW w:w="665" w:type="pct"/>
            <w:gridSpan w:val="2"/>
            <w:vAlign w:val="center"/>
          </w:tcPr>
          <w:p>
            <w:pPr>
              <w:spacing w:after="156" w:line="240" w:lineRule="auto"/>
              <w:ind w:firstLine="0" w:firstLineChars="0"/>
              <w:rPr>
                <w:sz w:val="21"/>
                <w:szCs w:val="21"/>
              </w:rPr>
            </w:pPr>
            <w:r>
              <w:rPr>
                <w:rFonts w:hint="eastAsia"/>
                <w:sz w:val="21"/>
                <w:szCs w:val="21"/>
              </w:rPr>
              <w:t>漏水声波</w:t>
            </w:r>
          </w:p>
        </w:tc>
        <w:tc>
          <w:tcPr>
            <w:tcW w:w="2998" w:type="pct"/>
            <w:gridSpan w:val="3"/>
            <w:vAlign w:val="center"/>
          </w:tcPr>
          <w:p>
            <w:pPr>
              <w:spacing w:after="156" w:line="240" w:lineRule="auto"/>
              <w:ind w:firstLine="0" w:firstLineChars="0"/>
              <w:rPr>
                <w:sz w:val="21"/>
                <w:szCs w:val="21"/>
              </w:rPr>
            </w:pPr>
            <w:r>
              <w:rPr>
                <w:rFonts w:hint="eastAsia"/>
                <w:sz w:val="21"/>
                <w:szCs w:val="21"/>
              </w:rPr>
              <w:t>道管径：不小于500mm</w:t>
            </w:r>
          </w:p>
          <w:p>
            <w:pPr>
              <w:spacing w:after="156" w:line="240" w:lineRule="auto"/>
              <w:ind w:firstLine="0" w:firstLineChars="0"/>
              <w:rPr>
                <w:sz w:val="21"/>
                <w:szCs w:val="21"/>
              </w:rPr>
            </w:pPr>
            <w:r>
              <w:rPr>
                <w:rFonts w:hint="eastAsia"/>
                <w:sz w:val="21"/>
                <w:szCs w:val="21"/>
              </w:rPr>
              <w:t>检测频率：每年不少于一次</w:t>
            </w:r>
          </w:p>
          <w:p>
            <w:pPr>
              <w:spacing w:after="156" w:line="240" w:lineRule="auto"/>
              <w:ind w:firstLine="0" w:firstLineChars="0"/>
              <w:rPr>
                <w:sz w:val="21"/>
                <w:szCs w:val="21"/>
              </w:rPr>
            </w:pPr>
            <w:r>
              <w:rPr>
                <w:rFonts w:hint="eastAsia"/>
                <w:sz w:val="21"/>
                <w:szCs w:val="21"/>
              </w:rPr>
              <w:t>检测精度：不低于0.3</w:t>
            </w:r>
            <w:r>
              <w:rPr>
                <w:rFonts w:hint="eastAsia"/>
                <w:spacing w:val="-4"/>
                <w:sz w:val="21"/>
                <w:szCs w:val="21"/>
              </w:rPr>
              <w:t>L/min</w:t>
            </w:r>
          </w:p>
          <w:p>
            <w:pPr>
              <w:spacing w:after="156" w:line="240" w:lineRule="auto"/>
              <w:ind w:firstLine="0" w:firstLineChars="0"/>
              <w:rPr>
                <w:sz w:val="21"/>
                <w:szCs w:val="21"/>
              </w:rPr>
            </w:pPr>
            <w:r>
              <w:rPr>
                <w:rFonts w:hint="eastAsia"/>
                <w:sz w:val="21"/>
                <w:szCs w:val="21"/>
                <w:lang w:eastAsia="en-US"/>
              </w:rPr>
              <w:t>泄漏定位精度：不低于2m</w:t>
            </w:r>
          </w:p>
        </w:tc>
        <w:tc>
          <w:tcPr>
            <w:tcW w:w="649" w:type="pct"/>
            <w:vAlign w:val="center"/>
          </w:tcPr>
          <w:p>
            <w:pPr>
              <w:spacing w:after="156" w:line="240" w:lineRule="auto"/>
              <w:ind w:firstLine="0" w:firstLineChars="0"/>
              <w:jc w:val="center"/>
              <w:rPr>
                <w:sz w:val="21"/>
                <w:szCs w:val="21"/>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88" w:type="pct"/>
            <w:vMerge w:val="restart"/>
            <w:vAlign w:val="center"/>
          </w:tcPr>
          <w:p>
            <w:pPr>
              <w:spacing w:after="156" w:line="240" w:lineRule="auto"/>
              <w:ind w:firstLine="0" w:firstLineChars="0"/>
              <w:rPr>
                <w:sz w:val="21"/>
                <w:szCs w:val="21"/>
              </w:rPr>
            </w:pPr>
            <w:r>
              <w:rPr>
                <w:rFonts w:hint="eastAsia"/>
                <w:sz w:val="21"/>
                <w:szCs w:val="21"/>
              </w:rPr>
              <w:t>水源地</w:t>
            </w:r>
          </w:p>
        </w:tc>
        <w:tc>
          <w:tcPr>
            <w:tcW w:w="269" w:type="pct"/>
            <w:vMerge w:val="restart"/>
            <w:vAlign w:val="center"/>
          </w:tcPr>
          <w:p>
            <w:pPr>
              <w:spacing w:after="156" w:line="240" w:lineRule="auto"/>
              <w:ind w:firstLine="0" w:firstLineChars="0"/>
              <w:rPr>
                <w:sz w:val="21"/>
                <w:szCs w:val="21"/>
              </w:rPr>
            </w:pPr>
            <w:r>
              <w:rPr>
                <w:rFonts w:hint="eastAsia"/>
                <w:sz w:val="21"/>
                <w:szCs w:val="21"/>
              </w:rPr>
              <w:t>水质</w:t>
            </w:r>
          </w:p>
        </w:tc>
        <w:tc>
          <w:tcPr>
            <w:tcW w:w="396" w:type="pct"/>
            <w:vAlign w:val="center"/>
          </w:tcPr>
          <w:p>
            <w:pPr>
              <w:spacing w:after="156" w:line="240" w:lineRule="auto"/>
              <w:ind w:firstLine="0" w:firstLineChars="0"/>
              <w:rPr>
                <w:sz w:val="21"/>
                <w:szCs w:val="21"/>
              </w:rPr>
            </w:pPr>
            <w:r>
              <w:rPr>
                <w:rFonts w:hint="eastAsia"/>
                <w:sz w:val="21"/>
                <w:szCs w:val="21"/>
              </w:rPr>
              <w:t>溶解氧</w:t>
            </w:r>
          </w:p>
        </w:tc>
        <w:tc>
          <w:tcPr>
            <w:tcW w:w="2998" w:type="pct"/>
            <w:gridSpan w:val="3"/>
            <w:vAlign w:val="center"/>
          </w:tcPr>
          <w:p>
            <w:pPr>
              <w:spacing w:after="156" w:line="240" w:lineRule="auto"/>
              <w:ind w:firstLine="0" w:firstLineChars="0"/>
              <w:rPr>
                <w:sz w:val="21"/>
                <w:szCs w:val="21"/>
              </w:rPr>
            </w:pPr>
            <w:r>
              <w:rPr>
                <w:rFonts w:hint="eastAsia"/>
                <w:sz w:val="21"/>
                <w:szCs w:val="21"/>
              </w:rPr>
              <w:t>量程：0~20mg/L</w:t>
            </w:r>
          </w:p>
          <w:p>
            <w:pPr>
              <w:spacing w:after="156" w:line="240" w:lineRule="auto"/>
              <w:ind w:firstLine="0" w:firstLineChars="0"/>
              <w:rPr>
                <w:sz w:val="21"/>
                <w:szCs w:val="21"/>
              </w:rPr>
            </w:pPr>
            <w:r>
              <w:rPr>
                <w:rFonts w:hint="eastAsia"/>
                <w:sz w:val="21"/>
                <w:szCs w:val="21"/>
              </w:rPr>
              <w:t>精度：±0.1mg/L</w:t>
            </w:r>
          </w:p>
        </w:tc>
        <w:tc>
          <w:tcPr>
            <w:tcW w:w="649" w:type="pct"/>
            <w:vAlign w:val="center"/>
          </w:tcPr>
          <w:p>
            <w:pPr>
              <w:spacing w:after="156" w:line="240" w:lineRule="auto"/>
              <w:ind w:firstLine="0" w:firstLineChars="0"/>
              <w:jc w:val="center"/>
              <w:rPr>
                <w:sz w:val="21"/>
                <w:szCs w:val="21"/>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88" w:type="pct"/>
            <w:vMerge w:val="continue"/>
            <w:vAlign w:val="center"/>
          </w:tcPr>
          <w:p>
            <w:pPr>
              <w:spacing w:after="156" w:line="240" w:lineRule="auto"/>
              <w:ind w:firstLine="0" w:firstLineChars="0"/>
              <w:rPr>
                <w:sz w:val="21"/>
                <w:szCs w:val="21"/>
              </w:rPr>
            </w:pPr>
          </w:p>
        </w:tc>
        <w:tc>
          <w:tcPr>
            <w:tcW w:w="269" w:type="pct"/>
            <w:vMerge w:val="continue"/>
            <w:vAlign w:val="center"/>
          </w:tcPr>
          <w:p>
            <w:pPr>
              <w:spacing w:after="156" w:line="240" w:lineRule="auto"/>
              <w:ind w:firstLine="0" w:firstLineChars="0"/>
              <w:rPr>
                <w:sz w:val="21"/>
                <w:szCs w:val="21"/>
              </w:rPr>
            </w:pPr>
          </w:p>
        </w:tc>
        <w:tc>
          <w:tcPr>
            <w:tcW w:w="396" w:type="pct"/>
            <w:vAlign w:val="center"/>
          </w:tcPr>
          <w:p>
            <w:pPr>
              <w:spacing w:after="156" w:line="240" w:lineRule="auto"/>
              <w:ind w:firstLine="0" w:firstLineChars="0"/>
              <w:rPr>
                <w:sz w:val="21"/>
                <w:szCs w:val="21"/>
              </w:rPr>
            </w:pPr>
            <w:r>
              <w:rPr>
                <w:rFonts w:hint="eastAsia"/>
                <w:sz w:val="21"/>
                <w:szCs w:val="21"/>
              </w:rPr>
              <w:t>浊度</w:t>
            </w:r>
          </w:p>
        </w:tc>
        <w:tc>
          <w:tcPr>
            <w:tcW w:w="2998" w:type="pct"/>
            <w:gridSpan w:val="3"/>
            <w:vAlign w:val="center"/>
          </w:tcPr>
          <w:p>
            <w:pPr>
              <w:spacing w:after="156" w:line="240" w:lineRule="auto"/>
              <w:ind w:firstLine="0" w:firstLineChars="0"/>
              <w:rPr>
                <w:sz w:val="21"/>
                <w:szCs w:val="21"/>
              </w:rPr>
            </w:pPr>
            <w:r>
              <w:rPr>
                <w:rFonts w:hint="eastAsia"/>
                <w:sz w:val="21"/>
                <w:szCs w:val="21"/>
              </w:rPr>
              <w:t>量程：0~4000NTU</w:t>
            </w:r>
          </w:p>
          <w:p>
            <w:pPr>
              <w:spacing w:after="156" w:line="240" w:lineRule="auto"/>
              <w:ind w:firstLine="0" w:firstLineChars="0"/>
              <w:rPr>
                <w:sz w:val="21"/>
                <w:szCs w:val="21"/>
              </w:rPr>
            </w:pPr>
            <w:r>
              <w:rPr>
                <w:rFonts w:hint="eastAsia"/>
                <w:sz w:val="21"/>
                <w:szCs w:val="21"/>
              </w:rPr>
              <w:t>精度：±5%</w:t>
            </w:r>
          </w:p>
        </w:tc>
        <w:tc>
          <w:tcPr>
            <w:tcW w:w="649" w:type="pct"/>
            <w:vAlign w:val="center"/>
          </w:tcPr>
          <w:p>
            <w:pPr>
              <w:spacing w:after="156" w:line="240" w:lineRule="auto"/>
              <w:ind w:firstLine="0" w:firstLineChars="0"/>
              <w:jc w:val="center"/>
              <w:rPr>
                <w:sz w:val="21"/>
                <w:szCs w:val="21"/>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88" w:type="pct"/>
            <w:vMerge w:val="continue"/>
            <w:vAlign w:val="center"/>
          </w:tcPr>
          <w:p>
            <w:pPr>
              <w:spacing w:after="156" w:line="240" w:lineRule="auto"/>
              <w:ind w:firstLine="0" w:firstLineChars="0"/>
              <w:rPr>
                <w:sz w:val="21"/>
                <w:szCs w:val="21"/>
              </w:rPr>
            </w:pPr>
          </w:p>
        </w:tc>
        <w:tc>
          <w:tcPr>
            <w:tcW w:w="269" w:type="pct"/>
            <w:vMerge w:val="continue"/>
            <w:vAlign w:val="center"/>
          </w:tcPr>
          <w:p>
            <w:pPr>
              <w:spacing w:after="156" w:line="240" w:lineRule="auto"/>
              <w:ind w:firstLine="0" w:firstLineChars="0"/>
              <w:rPr>
                <w:sz w:val="21"/>
                <w:szCs w:val="21"/>
              </w:rPr>
            </w:pPr>
          </w:p>
        </w:tc>
        <w:tc>
          <w:tcPr>
            <w:tcW w:w="396" w:type="pct"/>
            <w:vAlign w:val="center"/>
          </w:tcPr>
          <w:p>
            <w:pPr>
              <w:spacing w:after="156" w:line="240" w:lineRule="auto"/>
              <w:ind w:firstLine="0" w:firstLineChars="0"/>
              <w:rPr>
                <w:sz w:val="21"/>
                <w:szCs w:val="21"/>
              </w:rPr>
            </w:pPr>
            <w:r>
              <w:rPr>
                <w:rFonts w:hint="eastAsia"/>
                <w:sz w:val="21"/>
                <w:szCs w:val="21"/>
              </w:rPr>
              <w:t>电导率</w:t>
            </w:r>
          </w:p>
        </w:tc>
        <w:tc>
          <w:tcPr>
            <w:tcW w:w="2998" w:type="pct"/>
            <w:gridSpan w:val="3"/>
            <w:vAlign w:val="center"/>
          </w:tcPr>
          <w:p>
            <w:pPr>
              <w:spacing w:after="156" w:line="240" w:lineRule="auto"/>
              <w:ind w:firstLine="0" w:firstLineChars="0"/>
              <w:rPr>
                <w:sz w:val="21"/>
                <w:szCs w:val="21"/>
              </w:rPr>
            </w:pPr>
            <w:r>
              <w:rPr>
                <w:rFonts w:hint="eastAsia"/>
                <w:sz w:val="21"/>
                <w:szCs w:val="21"/>
              </w:rPr>
              <w:t>量程：0~200mS/m</w:t>
            </w:r>
          </w:p>
          <w:p>
            <w:pPr>
              <w:spacing w:after="156" w:line="240" w:lineRule="auto"/>
              <w:ind w:firstLine="0" w:firstLineChars="0"/>
              <w:rPr>
                <w:sz w:val="21"/>
                <w:szCs w:val="21"/>
              </w:rPr>
            </w:pPr>
            <w:r>
              <w:rPr>
                <w:rFonts w:hint="eastAsia"/>
                <w:sz w:val="21"/>
                <w:szCs w:val="21"/>
              </w:rPr>
              <w:t>精度：±2%</w:t>
            </w:r>
          </w:p>
        </w:tc>
        <w:tc>
          <w:tcPr>
            <w:tcW w:w="649" w:type="pct"/>
            <w:vAlign w:val="center"/>
          </w:tcPr>
          <w:p>
            <w:pPr>
              <w:spacing w:after="156" w:line="240" w:lineRule="auto"/>
              <w:ind w:firstLine="0" w:firstLineChars="0"/>
              <w:jc w:val="center"/>
              <w:rPr>
                <w:sz w:val="21"/>
                <w:szCs w:val="21"/>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88" w:type="pct"/>
            <w:vMerge w:val="continue"/>
            <w:vAlign w:val="center"/>
          </w:tcPr>
          <w:p>
            <w:pPr>
              <w:spacing w:after="156" w:line="240" w:lineRule="auto"/>
              <w:ind w:firstLine="0" w:firstLineChars="0"/>
              <w:rPr>
                <w:sz w:val="21"/>
                <w:szCs w:val="21"/>
              </w:rPr>
            </w:pPr>
          </w:p>
        </w:tc>
        <w:tc>
          <w:tcPr>
            <w:tcW w:w="269" w:type="pct"/>
            <w:vMerge w:val="continue"/>
            <w:vAlign w:val="center"/>
          </w:tcPr>
          <w:p>
            <w:pPr>
              <w:spacing w:after="156" w:line="240" w:lineRule="auto"/>
              <w:ind w:firstLine="0" w:firstLineChars="0"/>
              <w:rPr>
                <w:sz w:val="21"/>
                <w:szCs w:val="21"/>
              </w:rPr>
            </w:pPr>
          </w:p>
        </w:tc>
        <w:tc>
          <w:tcPr>
            <w:tcW w:w="396" w:type="pct"/>
            <w:vAlign w:val="center"/>
          </w:tcPr>
          <w:p>
            <w:pPr>
              <w:spacing w:after="156" w:line="240" w:lineRule="auto"/>
              <w:ind w:firstLine="0" w:firstLineChars="0"/>
              <w:rPr>
                <w:sz w:val="21"/>
                <w:szCs w:val="21"/>
              </w:rPr>
            </w:pPr>
            <w:r>
              <w:rPr>
                <w:rFonts w:hint="eastAsia"/>
                <w:sz w:val="21"/>
                <w:szCs w:val="21"/>
              </w:rPr>
              <w:t>氨氮</w:t>
            </w:r>
          </w:p>
        </w:tc>
        <w:tc>
          <w:tcPr>
            <w:tcW w:w="2998" w:type="pct"/>
            <w:gridSpan w:val="3"/>
            <w:vAlign w:val="center"/>
          </w:tcPr>
          <w:p>
            <w:pPr>
              <w:spacing w:after="156" w:line="240" w:lineRule="auto"/>
              <w:ind w:firstLine="0" w:firstLineChars="0"/>
              <w:rPr>
                <w:sz w:val="21"/>
                <w:szCs w:val="21"/>
              </w:rPr>
            </w:pPr>
            <w:r>
              <w:rPr>
                <w:rFonts w:hint="eastAsia"/>
                <w:sz w:val="21"/>
                <w:szCs w:val="21"/>
              </w:rPr>
              <w:t>量程：0~20mg/L</w:t>
            </w:r>
          </w:p>
          <w:p>
            <w:pPr>
              <w:spacing w:after="156" w:line="240" w:lineRule="auto"/>
              <w:ind w:firstLine="0" w:firstLineChars="0"/>
              <w:rPr>
                <w:sz w:val="21"/>
                <w:szCs w:val="21"/>
              </w:rPr>
            </w:pPr>
            <w:r>
              <w:rPr>
                <w:rFonts w:hint="eastAsia"/>
                <w:sz w:val="21"/>
                <w:szCs w:val="21"/>
              </w:rPr>
              <w:t>精度：±5%</w:t>
            </w:r>
          </w:p>
        </w:tc>
        <w:tc>
          <w:tcPr>
            <w:tcW w:w="649" w:type="pct"/>
            <w:vAlign w:val="center"/>
          </w:tcPr>
          <w:p>
            <w:pPr>
              <w:spacing w:after="156" w:line="240" w:lineRule="auto"/>
              <w:ind w:firstLine="0" w:firstLineChars="0"/>
              <w:jc w:val="center"/>
              <w:rPr>
                <w:sz w:val="21"/>
                <w:szCs w:val="21"/>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88" w:type="pct"/>
            <w:vMerge w:val="continue"/>
            <w:vAlign w:val="center"/>
          </w:tcPr>
          <w:p>
            <w:pPr>
              <w:spacing w:after="156" w:line="240" w:lineRule="auto"/>
              <w:ind w:firstLine="0" w:firstLineChars="0"/>
              <w:rPr>
                <w:sz w:val="21"/>
                <w:szCs w:val="21"/>
              </w:rPr>
            </w:pPr>
          </w:p>
        </w:tc>
        <w:tc>
          <w:tcPr>
            <w:tcW w:w="269" w:type="pct"/>
            <w:vMerge w:val="continue"/>
            <w:vAlign w:val="center"/>
          </w:tcPr>
          <w:p>
            <w:pPr>
              <w:spacing w:after="156" w:line="240" w:lineRule="auto"/>
              <w:ind w:firstLine="0" w:firstLineChars="0"/>
              <w:rPr>
                <w:sz w:val="21"/>
                <w:szCs w:val="21"/>
              </w:rPr>
            </w:pPr>
          </w:p>
        </w:tc>
        <w:tc>
          <w:tcPr>
            <w:tcW w:w="396" w:type="pct"/>
            <w:vAlign w:val="center"/>
          </w:tcPr>
          <w:p>
            <w:pPr>
              <w:spacing w:after="156" w:line="240" w:lineRule="auto"/>
              <w:ind w:firstLine="0" w:firstLineChars="0"/>
              <w:rPr>
                <w:sz w:val="21"/>
                <w:szCs w:val="21"/>
              </w:rPr>
            </w:pPr>
            <w:r>
              <w:rPr>
                <w:sz w:val="21"/>
                <w:szCs w:val="21"/>
              </w:rPr>
              <w:t>pH</w:t>
            </w:r>
          </w:p>
        </w:tc>
        <w:tc>
          <w:tcPr>
            <w:tcW w:w="2998" w:type="pct"/>
            <w:gridSpan w:val="3"/>
            <w:vAlign w:val="center"/>
          </w:tcPr>
          <w:p>
            <w:pPr>
              <w:spacing w:after="156" w:line="240" w:lineRule="auto"/>
              <w:ind w:firstLine="0" w:firstLineChars="0"/>
              <w:rPr>
                <w:sz w:val="21"/>
                <w:szCs w:val="21"/>
              </w:rPr>
            </w:pPr>
            <w:r>
              <w:rPr>
                <w:rFonts w:hint="eastAsia"/>
                <w:sz w:val="21"/>
                <w:szCs w:val="21"/>
              </w:rPr>
              <w:t>量程：4~10</w:t>
            </w:r>
          </w:p>
          <w:p>
            <w:pPr>
              <w:spacing w:after="156" w:line="240" w:lineRule="auto"/>
              <w:ind w:firstLine="0" w:firstLineChars="0"/>
              <w:rPr>
                <w:sz w:val="21"/>
                <w:szCs w:val="21"/>
              </w:rPr>
            </w:pPr>
            <w:r>
              <w:rPr>
                <w:rFonts w:hint="eastAsia"/>
                <w:sz w:val="21"/>
                <w:szCs w:val="21"/>
              </w:rPr>
              <w:t>精度：±0.1</w:t>
            </w:r>
          </w:p>
        </w:tc>
        <w:tc>
          <w:tcPr>
            <w:tcW w:w="649" w:type="pct"/>
            <w:vAlign w:val="center"/>
          </w:tcPr>
          <w:p>
            <w:pPr>
              <w:spacing w:after="156" w:line="240" w:lineRule="auto"/>
              <w:ind w:firstLine="0" w:firstLineChars="0"/>
              <w:jc w:val="center"/>
              <w:rPr>
                <w:sz w:val="21"/>
                <w:szCs w:val="21"/>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88" w:type="pct"/>
            <w:vMerge w:val="continue"/>
            <w:vAlign w:val="center"/>
          </w:tcPr>
          <w:p>
            <w:pPr>
              <w:spacing w:after="156" w:line="240" w:lineRule="auto"/>
              <w:ind w:firstLine="0" w:firstLineChars="0"/>
              <w:rPr>
                <w:sz w:val="21"/>
                <w:szCs w:val="21"/>
              </w:rPr>
            </w:pPr>
          </w:p>
        </w:tc>
        <w:tc>
          <w:tcPr>
            <w:tcW w:w="269" w:type="pct"/>
            <w:vMerge w:val="continue"/>
            <w:vAlign w:val="center"/>
          </w:tcPr>
          <w:p>
            <w:pPr>
              <w:spacing w:after="156" w:line="240" w:lineRule="auto"/>
              <w:ind w:firstLine="0" w:firstLineChars="0"/>
              <w:rPr>
                <w:sz w:val="21"/>
                <w:szCs w:val="21"/>
              </w:rPr>
            </w:pPr>
          </w:p>
        </w:tc>
        <w:tc>
          <w:tcPr>
            <w:tcW w:w="396" w:type="pct"/>
            <w:vAlign w:val="center"/>
          </w:tcPr>
          <w:p>
            <w:pPr>
              <w:spacing w:after="156" w:line="240" w:lineRule="auto"/>
              <w:ind w:firstLine="0" w:firstLineChars="0"/>
              <w:rPr>
                <w:sz w:val="21"/>
                <w:szCs w:val="21"/>
              </w:rPr>
            </w:pPr>
            <w:r>
              <w:rPr>
                <w:rFonts w:hint="eastAsia"/>
                <w:sz w:val="21"/>
                <w:szCs w:val="21"/>
              </w:rPr>
              <w:t>温度</w:t>
            </w:r>
          </w:p>
        </w:tc>
        <w:tc>
          <w:tcPr>
            <w:tcW w:w="2998" w:type="pct"/>
            <w:gridSpan w:val="3"/>
            <w:vAlign w:val="center"/>
          </w:tcPr>
          <w:p>
            <w:pPr>
              <w:spacing w:after="156" w:line="240" w:lineRule="auto"/>
              <w:ind w:firstLine="0" w:firstLineChars="0"/>
              <w:rPr>
                <w:sz w:val="21"/>
                <w:szCs w:val="21"/>
              </w:rPr>
            </w:pPr>
            <w:r>
              <w:rPr>
                <w:rFonts w:hint="eastAsia"/>
                <w:sz w:val="21"/>
                <w:szCs w:val="21"/>
              </w:rPr>
              <w:t>量程：0~60℃</w:t>
            </w:r>
          </w:p>
          <w:p>
            <w:pPr>
              <w:spacing w:after="156" w:line="240" w:lineRule="auto"/>
              <w:ind w:firstLine="0" w:firstLineChars="0"/>
              <w:rPr>
                <w:sz w:val="21"/>
                <w:szCs w:val="21"/>
              </w:rPr>
            </w:pPr>
            <w:r>
              <w:rPr>
                <w:rFonts w:hint="eastAsia"/>
                <w:sz w:val="21"/>
                <w:szCs w:val="21"/>
              </w:rPr>
              <w:t>精度：±0.5℃</w:t>
            </w:r>
          </w:p>
        </w:tc>
        <w:tc>
          <w:tcPr>
            <w:tcW w:w="649" w:type="pct"/>
            <w:vAlign w:val="center"/>
          </w:tcPr>
          <w:p>
            <w:pPr>
              <w:spacing w:after="156" w:line="240" w:lineRule="auto"/>
              <w:ind w:firstLine="0" w:firstLineChars="0"/>
              <w:jc w:val="center"/>
              <w:rPr>
                <w:sz w:val="21"/>
                <w:szCs w:val="21"/>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88" w:type="pct"/>
            <w:vMerge w:val="continue"/>
            <w:vAlign w:val="center"/>
          </w:tcPr>
          <w:p>
            <w:pPr>
              <w:spacing w:after="156" w:line="240" w:lineRule="auto"/>
              <w:ind w:firstLine="0" w:firstLineChars="0"/>
              <w:rPr>
                <w:sz w:val="21"/>
                <w:szCs w:val="21"/>
              </w:rPr>
            </w:pPr>
          </w:p>
        </w:tc>
        <w:tc>
          <w:tcPr>
            <w:tcW w:w="269" w:type="pct"/>
            <w:vMerge w:val="continue"/>
            <w:vAlign w:val="center"/>
          </w:tcPr>
          <w:p>
            <w:pPr>
              <w:spacing w:after="156" w:line="240" w:lineRule="auto"/>
              <w:ind w:firstLine="0" w:firstLineChars="0"/>
              <w:rPr>
                <w:sz w:val="21"/>
                <w:szCs w:val="21"/>
              </w:rPr>
            </w:pPr>
          </w:p>
        </w:tc>
        <w:tc>
          <w:tcPr>
            <w:tcW w:w="396" w:type="pct"/>
            <w:vAlign w:val="center"/>
          </w:tcPr>
          <w:p>
            <w:pPr>
              <w:spacing w:after="156" w:line="240" w:lineRule="auto"/>
              <w:ind w:firstLine="0" w:firstLineChars="0"/>
              <w:rPr>
                <w:sz w:val="21"/>
                <w:szCs w:val="21"/>
              </w:rPr>
            </w:pPr>
            <w:r>
              <w:rPr>
                <w:sz w:val="21"/>
                <w:szCs w:val="21"/>
              </w:rPr>
              <w:t>COD</w:t>
            </w:r>
          </w:p>
        </w:tc>
        <w:tc>
          <w:tcPr>
            <w:tcW w:w="2998" w:type="pct"/>
            <w:gridSpan w:val="3"/>
            <w:vAlign w:val="center"/>
          </w:tcPr>
          <w:p>
            <w:pPr>
              <w:spacing w:after="156" w:line="240" w:lineRule="auto"/>
              <w:ind w:firstLine="0" w:firstLineChars="0"/>
              <w:rPr>
                <w:sz w:val="21"/>
                <w:szCs w:val="21"/>
              </w:rPr>
            </w:pPr>
            <w:r>
              <w:rPr>
                <w:rFonts w:hint="eastAsia"/>
                <w:sz w:val="21"/>
                <w:szCs w:val="21"/>
              </w:rPr>
              <w:t>量程：0~20mg/L</w:t>
            </w:r>
          </w:p>
          <w:p>
            <w:pPr>
              <w:spacing w:after="156" w:line="240" w:lineRule="auto"/>
              <w:ind w:firstLine="0" w:firstLineChars="0"/>
              <w:rPr>
                <w:sz w:val="21"/>
                <w:szCs w:val="21"/>
              </w:rPr>
            </w:pPr>
            <w:r>
              <w:rPr>
                <w:rFonts w:hint="eastAsia"/>
                <w:sz w:val="21"/>
                <w:szCs w:val="21"/>
              </w:rPr>
              <w:t>精度：±10%</w:t>
            </w:r>
          </w:p>
        </w:tc>
        <w:tc>
          <w:tcPr>
            <w:tcW w:w="649" w:type="pct"/>
            <w:vAlign w:val="center"/>
          </w:tcPr>
          <w:p>
            <w:pPr>
              <w:spacing w:after="156" w:line="240" w:lineRule="auto"/>
              <w:ind w:firstLine="0" w:firstLineChars="0"/>
              <w:jc w:val="center"/>
              <w:rPr>
                <w:sz w:val="21"/>
                <w:szCs w:val="21"/>
              </w:rPr>
            </w:pPr>
            <w:r>
              <w:rPr>
                <w:rFonts w:hint="eastAsia" w:ascii="仿宋" w:hAnsi="仿宋"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88" w:type="pct"/>
            <w:vMerge w:val="continue"/>
            <w:vAlign w:val="center"/>
          </w:tcPr>
          <w:p>
            <w:pPr>
              <w:spacing w:after="156" w:line="240" w:lineRule="auto"/>
              <w:ind w:firstLine="0" w:firstLineChars="0"/>
              <w:rPr>
                <w:sz w:val="21"/>
                <w:szCs w:val="21"/>
              </w:rPr>
            </w:pPr>
          </w:p>
        </w:tc>
        <w:tc>
          <w:tcPr>
            <w:tcW w:w="269" w:type="pct"/>
            <w:vMerge w:val="continue"/>
            <w:vAlign w:val="center"/>
          </w:tcPr>
          <w:p>
            <w:pPr>
              <w:spacing w:after="156" w:line="240" w:lineRule="auto"/>
              <w:ind w:firstLine="0" w:firstLineChars="0"/>
              <w:rPr>
                <w:sz w:val="21"/>
                <w:szCs w:val="21"/>
              </w:rPr>
            </w:pPr>
          </w:p>
        </w:tc>
        <w:tc>
          <w:tcPr>
            <w:tcW w:w="396" w:type="pct"/>
            <w:vAlign w:val="center"/>
          </w:tcPr>
          <w:p>
            <w:pPr>
              <w:spacing w:after="156" w:line="240" w:lineRule="auto"/>
              <w:ind w:firstLine="0" w:firstLineChars="0"/>
              <w:rPr>
                <w:sz w:val="21"/>
                <w:szCs w:val="21"/>
              </w:rPr>
            </w:pPr>
            <w:r>
              <w:rPr>
                <w:rFonts w:hint="eastAsia"/>
                <w:sz w:val="21"/>
                <w:szCs w:val="21"/>
              </w:rPr>
              <w:t>总磷</w:t>
            </w:r>
          </w:p>
        </w:tc>
        <w:tc>
          <w:tcPr>
            <w:tcW w:w="2998" w:type="pct"/>
            <w:gridSpan w:val="3"/>
            <w:vAlign w:val="center"/>
          </w:tcPr>
          <w:p>
            <w:pPr>
              <w:spacing w:after="156" w:line="240" w:lineRule="auto"/>
              <w:ind w:firstLine="0" w:firstLineChars="0"/>
              <w:rPr>
                <w:sz w:val="21"/>
                <w:szCs w:val="21"/>
              </w:rPr>
            </w:pPr>
            <w:r>
              <w:rPr>
                <w:rFonts w:hint="eastAsia"/>
                <w:sz w:val="21"/>
                <w:szCs w:val="21"/>
              </w:rPr>
              <w:t>量程：0~20mg/L</w:t>
            </w:r>
          </w:p>
          <w:p>
            <w:pPr>
              <w:spacing w:after="156" w:line="240" w:lineRule="auto"/>
              <w:ind w:firstLine="0" w:firstLineChars="0"/>
              <w:rPr>
                <w:sz w:val="21"/>
                <w:szCs w:val="21"/>
              </w:rPr>
            </w:pPr>
            <w:r>
              <w:rPr>
                <w:rFonts w:hint="eastAsia"/>
                <w:sz w:val="21"/>
                <w:szCs w:val="21"/>
              </w:rPr>
              <w:t>精度：±10%</w:t>
            </w:r>
          </w:p>
        </w:tc>
        <w:tc>
          <w:tcPr>
            <w:tcW w:w="649" w:type="pct"/>
            <w:vAlign w:val="center"/>
          </w:tcPr>
          <w:p>
            <w:pPr>
              <w:spacing w:after="156" w:line="240" w:lineRule="auto"/>
              <w:ind w:firstLine="0" w:firstLineChars="0"/>
              <w:jc w:val="center"/>
              <w:rPr>
                <w:sz w:val="21"/>
                <w:szCs w:val="21"/>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88" w:type="pct"/>
            <w:vMerge w:val="continue"/>
            <w:vAlign w:val="center"/>
          </w:tcPr>
          <w:p>
            <w:pPr>
              <w:spacing w:after="156" w:line="240" w:lineRule="auto"/>
              <w:ind w:firstLine="0" w:firstLineChars="0"/>
              <w:rPr>
                <w:sz w:val="21"/>
                <w:szCs w:val="21"/>
              </w:rPr>
            </w:pPr>
          </w:p>
        </w:tc>
        <w:tc>
          <w:tcPr>
            <w:tcW w:w="269" w:type="pct"/>
            <w:vMerge w:val="continue"/>
            <w:vAlign w:val="center"/>
          </w:tcPr>
          <w:p>
            <w:pPr>
              <w:spacing w:after="156" w:line="240" w:lineRule="auto"/>
              <w:ind w:firstLine="0" w:firstLineChars="0"/>
              <w:rPr>
                <w:sz w:val="21"/>
                <w:szCs w:val="21"/>
              </w:rPr>
            </w:pPr>
          </w:p>
        </w:tc>
        <w:tc>
          <w:tcPr>
            <w:tcW w:w="396" w:type="pct"/>
            <w:vAlign w:val="center"/>
          </w:tcPr>
          <w:p>
            <w:pPr>
              <w:spacing w:after="156" w:line="240" w:lineRule="auto"/>
              <w:ind w:firstLine="0" w:firstLineChars="0"/>
              <w:rPr>
                <w:sz w:val="21"/>
                <w:szCs w:val="21"/>
              </w:rPr>
            </w:pPr>
            <w:r>
              <w:rPr>
                <w:rFonts w:hint="eastAsia"/>
                <w:sz w:val="21"/>
                <w:szCs w:val="21"/>
              </w:rPr>
              <w:t>总氮</w:t>
            </w:r>
          </w:p>
        </w:tc>
        <w:tc>
          <w:tcPr>
            <w:tcW w:w="2998" w:type="pct"/>
            <w:gridSpan w:val="3"/>
            <w:vAlign w:val="center"/>
          </w:tcPr>
          <w:p>
            <w:pPr>
              <w:spacing w:after="156" w:line="240" w:lineRule="auto"/>
              <w:ind w:firstLine="0" w:firstLineChars="0"/>
              <w:rPr>
                <w:sz w:val="21"/>
                <w:szCs w:val="21"/>
              </w:rPr>
            </w:pPr>
            <w:r>
              <w:rPr>
                <w:rFonts w:hint="eastAsia"/>
                <w:sz w:val="21"/>
                <w:szCs w:val="21"/>
              </w:rPr>
              <w:t>量程：0~20mg/L</w:t>
            </w:r>
          </w:p>
          <w:p>
            <w:pPr>
              <w:spacing w:after="156" w:line="240" w:lineRule="auto"/>
              <w:ind w:firstLine="0" w:firstLineChars="0"/>
              <w:rPr>
                <w:sz w:val="21"/>
                <w:szCs w:val="21"/>
              </w:rPr>
            </w:pPr>
            <w:r>
              <w:rPr>
                <w:rFonts w:hint="eastAsia"/>
                <w:sz w:val="21"/>
                <w:szCs w:val="21"/>
              </w:rPr>
              <w:t>精度：±10%</w:t>
            </w:r>
          </w:p>
        </w:tc>
        <w:tc>
          <w:tcPr>
            <w:tcW w:w="649" w:type="pct"/>
            <w:vAlign w:val="center"/>
          </w:tcPr>
          <w:p>
            <w:pPr>
              <w:spacing w:after="156" w:line="240" w:lineRule="auto"/>
              <w:ind w:firstLine="0" w:firstLineChars="0"/>
              <w:jc w:val="center"/>
              <w:rPr>
                <w:sz w:val="21"/>
                <w:szCs w:val="21"/>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atLeast"/>
        </w:trPr>
        <w:tc>
          <w:tcPr>
            <w:tcW w:w="688" w:type="pct"/>
            <w:vMerge w:val="restart"/>
            <w:vAlign w:val="center"/>
          </w:tcPr>
          <w:p>
            <w:pPr>
              <w:spacing w:after="156" w:line="240" w:lineRule="auto"/>
              <w:ind w:firstLine="0" w:firstLineChars="0"/>
              <w:rPr>
                <w:sz w:val="21"/>
                <w:szCs w:val="21"/>
              </w:rPr>
            </w:pPr>
            <w:r>
              <w:rPr>
                <w:rFonts w:hint="eastAsia"/>
                <w:sz w:val="21"/>
                <w:szCs w:val="21"/>
              </w:rPr>
              <w:t>市政消火栓</w:t>
            </w:r>
          </w:p>
        </w:tc>
        <w:tc>
          <w:tcPr>
            <w:tcW w:w="665" w:type="pct"/>
            <w:gridSpan w:val="2"/>
            <w:vAlign w:val="center"/>
          </w:tcPr>
          <w:p>
            <w:pPr>
              <w:spacing w:after="156" w:line="240" w:lineRule="auto"/>
              <w:ind w:firstLine="0" w:firstLineChars="0"/>
              <w:rPr>
                <w:sz w:val="21"/>
                <w:szCs w:val="21"/>
              </w:rPr>
            </w:pPr>
            <w:r>
              <w:rPr>
                <w:rFonts w:hint="eastAsia"/>
                <w:sz w:val="21"/>
                <w:szCs w:val="21"/>
              </w:rPr>
              <w:t>流量</w:t>
            </w:r>
          </w:p>
        </w:tc>
        <w:tc>
          <w:tcPr>
            <w:tcW w:w="2998" w:type="pct"/>
            <w:gridSpan w:val="3"/>
            <w:vAlign w:val="center"/>
          </w:tcPr>
          <w:p>
            <w:pPr>
              <w:spacing w:after="156" w:line="240" w:lineRule="auto"/>
              <w:ind w:firstLine="0" w:firstLineChars="0"/>
              <w:rPr>
                <w:sz w:val="21"/>
                <w:szCs w:val="21"/>
                <w:lang w:eastAsia="en-US"/>
              </w:rPr>
            </w:pPr>
            <w:r>
              <w:rPr>
                <w:rFonts w:hint="eastAsia"/>
                <w:sz w:val="21"/>
                <w:szCs w:val="21"/>
                <w:lang w:eastAsia="en-US"/>
              </w:rPr>
              <w:t>量程：（0.5-50）L/s</w:t>
            </w:r>
          </w:p>
          <w:p>
            <w:pPr>
              <w:spacing w:after="156" w:line="240" w:lineRule="auto"/>
              <w:ind w:firstLine="0" w:firstLineChars="0"/>
              <w:rPr>
                <w:sz w:val="21"/>
                <w:szCs w:val="21"/>
                <w:lang w:eastAsia="en-US"/>
              </w:rPr>
            </w:pPr>
            <w:r>
              <w:rPr>
                <w:rFonts w:hint="eastAsia"/>
                <w:sz w:val="21"/>
                <w:szCs w:val="21"/>
                <w:lang w:eastAsia="en-US"/>
              </w:rPr>
              <w:t>精度：±1%FS</w:t>
            </w:r>
          </w:p>
          <w:p>
            <w:pPr>
              <w:spacing w:after="156" w:line="240" w:lineRule="auto"/>
              <w:ind w:firstLine="0" w:firstLineChars="0"/>
              <w:rPr>
                <w:sz w:val="21"/>
                <w:szCs w:val="21"/>
              </w:rPr>
            </w:pPr>
            <w:r>
              <w:rPr>
                <w:rFonts w:hint="eastAsia"/>
                <w:sz w:val="21"/>
                <w:szCs w:val="21"/>
              </w:rPr>
              <w:t>环境适用性：应具有防水、防尘、防腐等抗恶劣环境</w:t>
            </w:r>
          </w:p>
        </w:tc>
        <w:tc>
          <w:tcPr>
            <w:tcW w:w="649" w:type="pct"/>
            <w:vAlign w:val="center"/>
          </w:tcPr>
          <w:p>
            <w:pPr>
              <w:spacing w:after="156" w:line="240" w:lineRule="auto"/>
              <w:ind w:firstLine="0" w:firstLineChars="0"/>
              <w:jc w:val="center"/>
              <w:rPr>
                <w:sz w:val="21"/>
                <w:szCs w:val="21"/>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atLeast"/>
        </w:trPr>
        <w:tc>
          <w:tcPr>
            <w:tcW w:w="688" w:type="pct"/>
            <w:vMerge w:val="continue"/>
            <w:vAlign w:val="center"/>
          </w:tcPr>
          <w:p>
            <w:pPr>
              <w:spacing w:after="156" w:line="240" w:lineRule="auto"/>
              <w:ind w:firstLine="0" w:firstLineChars="0"/>
              <w:rPr>
                <w:sz w:val="21"/>
                <w:szCs w:val="21"/>
              </w:rPr>
            </w:pPr>
          </w:p>
        </w:tc>
        <w:tc>
          <w:tcPr>
            <w:tcW w:w="665" w:type="pct"/>
            <w:gridSpan w:val="2"/>
            <w:vAlign w:val="center"/>
          </w:tcPr>
          <w:p>
            <w:pPr>
              <w:spacing w:after="156" w:line="240" w:lineRule="auto"/>
              <w:ind w:firstLine="0" w:firstLineChars="0"/>
              <w:rPr>
                <w:sz w:val="21"/>
                <w:szCs w:val="21"/>
              </w:rPr>
            </w:pPr>
            <w:r>
              <w:rPr>
                <w:rFonts w:hint="eastAsia"/>
                <w:sz w:val="21"/>
                <w:szCs w:val="21"/>
              </w:rPr>
              <w:t>压力</w:t>
            </w:r>
          </w:p>
        </w:tc>
        <w:tc>
          <w:tcPr>
            <w:tcW w:w="2998" w:type="pct"/>
            <w:gridSpan w:val="3"/>
            <w:vAlign w:val="center"/>
          </w:tcPr>
          <w:p>
            <w:pPr>
              <w:spacing w:after="156" w:line="240" w:lineRule="auto"/>
              <w:ind w:firstLine="0" w:firstLineChars="0"/>
              <w:rPr>
                <w:sz w:val="21"/>
                <w:szCs w:val="21"/>
                <w:lang w:eastAsia="en-US"/>
              </w:rPr>
            </w:pPr>
            <w:r>
              <w:rPr>
                <w:rFonts w:hint="eastAsia"/>
                <w:sz w:val="21"/>
                <w:szCs w:val="21"/>
                <w:lang w:eastAsia="en-US"/>
              </w:rPr>
              <w:t>量程：（0-1.6）MPa</w:t>
            </w:r>
          </w:p>
          <w:p>
            <w:pPr>
              <w:spacing w:after="156" w:line="240" w:lineRule="auto"/>
              <w:ind w:firstLine="0" w:firstLineChars="0"/>
              <w:rPr>
                <w:sz w:val="21"/>
                <w:szCs w:val="21"/>
                <w:lang w:eastAsia="en-US"/>
              </w:rPr>
            </w:pPr>
            <w:r>
              <w:rPr>
                <w:rFonts w:hint="eastAsia"/>
                <w:sz w:val="21"/>
                <w:szCs w:val="21"/>
                <w:lang w:eastAsia="en-US"/>
              </w:rPr>
              <w:t>精度：±0.5%FS</w:t>
            </w:r>
          </w:p>
          <w:p>
            <w:pPr>
              <w:spacing w:after="156" w:line="240" w:lineRule="auto"/>
              <w:ind w:firstLine="0" w:firstLineChars="0"/>
              <w:rPr>
                <w:sz w:val="21"/>
                <w:szCs w:val="21"/>
              </w:rPr>
            </w:pPr>
            <w:r>
              <w:rPr>
                <w:rFonts w:hint="eastAsia"/>
                <w:sz w:val="21"/>
                <w:szCs w:val="21"/>
              </w:rPr>
              <w:t>环境适用性：应具有防水、防尘、防腐等抗恶劣环境性能</w:t>
            </w:r>
          </w:p>
        </w:tc>
        <w:tc>
          <w:tcPr>
            <w:tcW w:w="649" w:type="pct"/>
            <w:vAlign w:val="center"/>
          </w:tcPr>
          <w:p>
            <w:pPr>
              <w:spacing w:after="156" w:line="240" w:lineRule="auto"/>
              <w:ind w:firstLine="0" w:firstLineChars="0"/>
              <w:jc w:val="center"/>
              <w:rPr>
                <w:sz w:val="21"/>
                <w:szCs w:val="21"/>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atLeast"/>
        </w:trPr>
        <w:tc>
          <w:tcPr>
            <w:tcW w:w="688" w:type="pct"/>
            <w:vMerge w:val="continue"/>
            <w:vAlign w:val="center"/>
          </w:tcPr>
          <w:p>
            <w:pPr>
              <w:spacing w:after="156" w:line="240" w:lineRule="auto"/>
              <w:ind w:firstLine="0" w:firstLineChars="0"/>
              <w:rPr>
                <w:sz w:val="21"/>
                <w:szCs w:val="21"/>
              </w:rPr>
            </w:pPr>
          </w:p>
        </w:tc>
        <w:tc>
          <w:tcPr>
            <w:tcW w:w="665" w:type="pct"/>
            <w:gridSpan w:val="2"/>
            <w:vAlign w:val="center"/>
          </w:tcPr>
          <w:p>
            <w:pPr>
              <w:spacing w:after="156" w:line="240" w:lineRule="auto"/>
              <w:ind w:firstLine="0" w:firstLineChars="0"/>
              <w:rPr>
                <w:sz w:val="21"/>
                <w:szCs w:val="21"/>
              </w:rPr>
            </w:pPr>
            <w:r>
              <w:rPr>
                <w:rFonts w:hint="eastAsia"/>
                <w:sz w:val="21"/>
                <w:szCs w:val="21"/>
              </w:rPr>
              <w:t>温度</w:t>
            </w:r>
          </w:p>
        </w:tc>
        <w:tc>
          <w:tcPr>
            <w:tcW w:w="2998" w:type="pct"/>
            <w:gridSpan w:val="3"/>
            <w:vAlign w:val="center"/>
          </w:tcPr>
          <w:p>
            <w:pPr>
              <w:spacing w:after="156" w:line="240" w:lineRule="auto"/>
              <w:ind w:firstLine="0" w:firstLineChars="0"/>
              <w:rPr>
                <w:kern w:val="0"/>
                <w:sz w:val="21"/>
                <w:szCs w:val="21"/>
                <w:lang w:eastAsia="en-US" w:bidi="ar"/>
              </w:rPr>
            </w:pPr>
            <w:r>
              <w:rPr>
                <w:rFonts w:hint="eastAsia"/>
                <w:sz w:val="21"/>
                <w:szCs w:val="21"/>
                <w:lang w:bidi="ar"/>
              </w:rPr>
              <w:t>量程：</w:t>
            </w:r>
            <w:r>
              <w:rPr>
                <w:rFonts w:cs="Times New Roman"/>
                <w:sz w:val="21"/>
                <w:szCs w:val="21"/>
                <w:lang w:bidi="ar"/>
              </w:rPr>
              <w:t>-30</w:t>
            </w:r>
            <w:r>
              <w:rPr>
                <w:rFonts w:hint="eastAsia"/>
                <w:sz w:val="21"/>
                <w:szCs w:val="21"/>
                <w:lang w:bidi="ar"/>
              </w:rPr>
              <w:t>℃</w:t>
            </w:r>
            <w:r>
              <w:rPr>
                <w:rFonts w:cs="Times New Roman"/>
                <w:bCs/>
                <w:color w:val="000000"/>
                <w:sz w:val="21"/>
                <w:szCs w:val="21"/>
                <w:lang w:bidi="ar"/>
              </w:rPr>
              <w:t>~</w:t>
            </w:r>
            <w:r>
              <w:rPr>
                <w:rFonts w:cs="Times New Roman"/>
                <w:sz w:val="21"/>
                <w:szCs w:val="21"/>
                <w:lang w:bidi="ar"/>
              </w:rPr>
              <w:t>70</w:t>
            </w:r>
            <w:r>
              <w:rPr>
                <w:rFonts w:hint="eastAsia"/>
                <w:sz w:val="21"/>
                <w:szCs w:val="21"/>
                <w:lang w:bidi="ar"/>
              </w:rPr>
              <w:t>℃</w:t>
            </w:r>
          </w:p>
          <w:p>
            <w:pPr>
              <w:spacing w:after="156" w:line="240" w:lineRule="auto"/>
              <w:ind w:firstLine="0" w:firstLineChars="0"/>
              <w:rPr>
                <w:rFonts w:cs="仿宋"/>
                <w:kern w:val="0"/>
                <w:sz w:val="21"/>
                <w:szCs w:val="21"/>
                <w:lang w:eastAsia="en-US"/>
              </w:rPr>
            </w:pPr>
            <w:r>
              <w:rPr>
                <w:rFonts w:hint="eastAsia"/>
                <w:sz w:val="21"/>
                <w:szCs w:val="21"/>
                <w:lang w:bidi="ar"/>
              </w:rPr>
              <w:t>精度：±</w:t>
            </w:r>
            <w:r>
              <w:rPr>
                <w:sz w:val="21"/>
                <w:szCs w:val="21"/>
                <w:lang w:bidi="ar"/>
              </w:rPr>
              <w:t>2</w:t>
            </w:r>
            <w:r>
              <w:rPr>
                <w:rFonts w:hint="eastAsia"/>
                <w:sz w:val="21"/>
                <w:szCs w:val="21"/>
                <w:lang w:bidi="ar"/>
              </w:rPr>
              <w:t>℃</w:t>
            </w:r>
          </w:p>
        </w:tc>
        <w:tc>
          <w:tcPr>
            <w:tcW w:w="649" w:type="pct"/>
            <w:vAlign w:val="center"/>
          </w:tcPr>
          <w:p>
            <w:pPr>
              <w:spacing w:after="156" w:line="240" w:lineRule="auto"/>
              <w:ind w:firstLine="0" w:firstLineChars="0"/>
              <w:jc w:val="center"/>
              <w:rPr>
                <w:sz w:val="21"/>
                <w:szCs w:val="21"/>
                <w:lang w:eastAsia="en-US"/>
              </w:rPr>
            </w:pPr>
            <w:r>
              <w:rPr>
                <w:rFonts w:hint="eastAsia"/>
                <w:sz w:val="24"/>
              </w:rPr>
              <w:t>○</w:t>
            </w:r>
          </w:p>
        </w:tc>
      </w:tr>
      <w:bookmarkEnd w:id="60"/>
    </w:tbl>
    <w:p>
      <w:pPr>
        <w:spacing w:after="156"/>
        <w:ind w:firstLine="0" w:firstLineChars="0"/>
        <w:jc w:val="center"/>
        <w:rPr>
          <w:sz w:val="24"/>
        </w:rPr>
      </w:pPr>
      <w:r>
        <w:rPr>
          <w:rFonts w:hint="eastAsia"/>
          <w:sz w:val="24"/>
        </w:rPr>
        <w:t>备注：★应监测指标▲宜监测指标○可监测指标</w:t>
      </w:r>
    </w:p>
    <w:p>
      <w:pPr>
        <w:spacing w:after="156"/>
      </w:pPr>
      <w:r>
        <w:rPr>
          <w:rFonts w:hint="eastAsia"/>
        </w:rPr>
        <w:t>供水管网运行监测根据风险评估结果进行监测点位布设，较大风险及以上的必须安装监测设备。优选以下部位或区域进行布点：</w:t>
      </w:r>
    </w:p>
    <w:p>
      <w:pPr>
        <w:spacing w:after="156"/>
      </w:pPr>
      <w:r>
        <w:rPr>
          <w:rFonts w:hint="eastAsia"/>
        </w:rPr>
        <w:t>（1）重点监测供水主干管、老旧管道、管网水力分界线、大管段交叉处；</w:t>
      </w:r>
    </w:p>
    <w:p>
      <w:pPr>
        <w:spacing w:after="156"/>
      </w:pPr>
      <w:r>
        <w:rPr>
          <w:rFonts w:hint="eastAsia"/>
        </w:rPr>
        <w:t>（2）存在各工程交叉相关影响、地质灾害影响的供水管线；</w:t>
      </w:r>
    </w:p>
    <w:p>
      <w:pPr>
        <w:spacing w:after="156"/>
      </w:pPr>
      <w:r>
        <w:rPr>
          <w:rFonts w:hint="eastAsia"/>
        </w:rPr>
        <w:t>（3）水厂原水管段，出厂管段，相邻及其他供水爆管漏失影响城市片区安全供水、后果严重的供水管线，爆管漏失造成严重后果影响的公共基础设施旁边的供水管道；</w:t>
      </w:r>
    </w:p>
    <w:p>
      <w:pPr>
        <w:spacing w:after="156"/>
      </w:pPr>
      <w:r>
        <w:rPr>
          <w:rFonts w:hint="eastAsia"/>
        </w:rPr>
        <w:t>（4）供水生产调度水力模型校验点；</w:t>
      </w:r>
    </w:p>
    <w:p>
      <w:pPr>
        <w:spacing w:after="156"/>
      </w:pPr>
      <w:r>
        <w:rPr>
          <w:rFonts w:hint="eastAsia"/>
        </w:rPr>
        <w:t>（5）管网最不利点；</w:t>
      </w:r>
    </w:p>
    <w:p>
      <w:pPr>
        <w:spacing w:after="156"/>
      </w:pPr>
      <w:r>
        <w:rPr>
          <w:rFonts w:hint="eastAsia"/>
        </w:rPr>
        <w:t>（6）人员密集区域主干道路上的市政消火栓；</w:t>
      </w:r>
    </w:p>
    <w:p>
      <w:pPr>
        <w:spacing w:after="156"/>
      </w:pPr>
      <w:r>
        <w:rPr>
          <w:rFonts w:hint="eastAsia"/>
        </w:rPr>
        <w:t>（7）取水口、中途加压泵站及管网末梢等。</w:t>
      </w:r>
    </w:p>
    <w:p>
      <w:pPr>
        <w:pStyle w:val="3"/>
        <w:spacing w:after="156"/>
      </w:pPr>
      <w:bookmarkStart w:id="61" w:name="_Toc184031840"/>
      <w:bookmarkStart w:id="62" w:name="_Toc182299753"/>
      <w:r>
        <w:rPr>
          <w:rFonts w:hint="eastAsia"/>
        </w:rPr>
        <w:t>排水（雨水）管网感知网络建设要求</w:t>
      </w:r>
      <w:bookmarkEnd w:id="61"/>
      <w:bookmarkEnd w:id="62"/>
    </w:p>
    <w:p>
      <w:pPr>
        <w:spacing w:after="156"/>
      </w:pPr>
      <w:r>
        <w:rPr>
          <w:rFonts w:hint="eastAsia"/>
        </w:rPr>
        <w:t>排水（雨水）管网安全监测对象主要为城市雨水管网及其附属设施。通过在雨水管网安装流量、液位传感器、泵站监测设备，实现对雨水管网和泵站运行工况实时在线监测。</w:t>
      </w:r>
    </w:p>
    <w:p>
      <w:pPr>
        <w:pStyle w:val="11"/>
        <w:spacing w:after="156"/>
      </w:pPr>
      <w:r>
        <w:rPr>
          <w:rFonts w:hint="eastAsia"/>
        </w:rPr>
        <w:t>表</w:t>
      </w:r>
      <w:r>
        <w:fldChar w:fldCharType="begin"/>
      </w:r>
      <w:r>
        <w:instrText xml:space="preserve"> </w:instrText>
      </w:r>
      <w:r>
        <w:rPr>
          <w:rFonts w:hint="eastAsia"/>
        </w:rPr>
        <w:instrText xml:space="preserve">STYLEREF 2 \s</w:instrText>
      </w:r>
      <w:r>
        <w:instrText xml:space="preserve"> </w:instrText>
      </w:r>
      <w:r>
        <w:fldChar w:fldCharType="separate"/>
      </w:r>
      <w:r>
        <w:t>7.3</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t>1</w:t>
      </w:r>
      <w:r>
        <w:fldChar w:fldCharType="end"/>
      </w:r>
      <w:bookmarkStart w:id="63" w:name="_Hlk163820439"/>
      <w:r>
        <w:rPr>
          <w:rFonts w:hint="eastAsia"/>
        </w:rPr>
        <w:t>排水（雨水）监测对象及主要指标</w:t>
      </w:r>
      <w:bookmarkEnd w:id="63"/>
    </w:p>
    <w:tbl>
      <w:tblPr>
        <w:tblStyle w:val="2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78"/>
        <w:gridCol w:w="881"/>
        <w:gridCol w:w="5141"/>
        <w:gridCol w:w="1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48" w:type="pct"/>
            <w:vAlign w:val="center"/>
          </w:tcPr>
          <w:p>
            <w:pPr>
              <w:spacing w:after="156" w:line="240" w:lineRule="auto"/>
              <w:ind w:firstLine="0" w:firstLineChars="0"/>
              <w:jc w:val="center"/>
              <w:rPr>
                <w:sz w:val="21"/>
                <w:szCs w:val="21"/>
                <w:lang w:eastAsia="en-US"/>
              </w:rPr>
            </w:pPr>
            <w:bookmarkStart w:id="64" w:name="_Hlk163820424"/>
            <w:r>
              <w:rPr>
                <w:rFonts w:hint="eastAsia"/>
                <w:sz w:val="21"/>
                <w:szCs w:val="21"/>
                <w:lang w:eastAsia="en-US"/>
              </w:rPr>
              <w:t>监测对象</w:t>
            </w:r>
          </w:p>
        </w:tc>
        <w:tc>
          <w:tcPr>
            <w:tcW w:w="530" w:type="pct"/>
            <w:vAlign w:val="center"/>
          </w:tcPr>
          <w:p>
            <w:pPr>
              <w:spacing w:after="156" w:line="240" w:lineRule="auto"/>
              <w:ind w:firstLine="0" w:firstLineChars="0"/>
              <w:jc w:val="center"/>
              <w:rPr>
                <w:sz w:val="21"/>
                <w:szCs w:val="21"/>
                <w:lang w:eastAsia="en-US"/>
              </w:rPr>
            </w:pPr>
            <w:r>
              <w:rPr>
                <w:rFonts w:hint="eastAsia"/>
                <w:sz w:val="21"/>
                <w:szCs w:val="21"/>
                <w:lang w:eastAsia="en-US"/>
              </w:rPr>
              <w:t>监测指标</w:t>
            </w:r>
          </w:p>
        </w:tc>
        <w:tc>
          <w:tcPr>
            <w:tcW w:w="3091" w:type="pct"/>
            <w:vAlign w:val="center"/>
          </w:tcPr>
          <w:p>
            <w:pPr>
              <w:spacing w:after="156" w:line="240" w:lineRule="auto"/>
              <w:ind w:firstLine="0" w:firstLineChars="0"/>
              <w:jc w:val="center"/>
              <w:rPr>
                <w:sz w:val="21"/>
                <w:szCs w:val="21"/>
                <w:lang w:eastAsia="en-US"/>
              </w:rPr>
            </w:pPr>
            <w:r>
              <w:rPr>
                <w:rFonts w:hint="eastAsia"/>
                <w:sz w:val="21"/>
                <w:szCs w:val="21"/>
                <w:lang w:eastAsia="en-US"/>
              </w:rPr>
              <w:t>监测设备技术要求</w:t>
            </w:r>
          </w:p>
        </w:tc>
        <w:tc>
          <w:tcPr>
            <w:tcW w:w="731" w:type="pct"/>
            <w:vAlign w:val="center"/>
          </w:tcPr>
          <w:p>
            <w:pPr>
              <w:spacing w:after="156" w:line="240" w:lineRule="auto"/>
              <w:ind w:firstLine="0" w:firstLineChars="0"/>
              <w:jc w:val="center"/>
              <w:rPr>
                <w:sz w:val="21"/>
                <w:szCs w:val="21"/>
              </w:rPr>
            </w:pPr>
            <w:r>
              <w:rPr>
                <w:rFonts w:hint="eastAsia"/>
                <w:sz w:val="21"/>
                <w:szCs w:val="21"/>
              </w:rPr>
              <w:t>建设优先级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648" w:type="pct"/>
            <w:vMerge w:val="restart"/>
            <w:vAlign w:val="center"/>
          </w:tcPr>
          <w:p>
            <w:pPr>
              <w:spacing w:after="156" w:line="240" w:lineRule="auto"/>
              <w:ind w:firstLine="0" w:firstLineChars="0"/>
              <w:rPr>
                <w:sz w:val="21"/>
                <w:szCs w:val="21"/>
              </w:rPr>
            </w:pPr>
            <w:r>
              <w:rPr>
                <w:rFonts w:hint="eastAsia"/>
                <w:sz w:val="21"/>
                <w:szCs w:val="21"/>
              </w:rPr>
              <w:t>雨水管网及其附属设施</w:t>
            </w:r>
          </w:p>
        </w:tc>
        <w:tc>
          <w:tcPr>
            <w:tcW w:w="530" w:type="pct"/>
            <w:vAlign w:val="center"/>
          </w:tcPr>
          <w:p>
            <w:pPr>
              <w:spacing w:after="156" w:line="240" w:lineRule="auto"/>
              <w:ind w:firstLine="0" w:firstLineChars="0"/>
              <w:rPr>
                <w:sz w:val="21"/>
                <w:szCs w:val="21"/>
              </w:rPr>
            </w:pPr>
            <w:r>
              <w:rPr>
                <w:rFonts w:hint="eastAsia"/>
                <w:sz w:val="21"/>
                <w:szCs w:val="21"/>
              </w:rPr>
              <w:t>雨量</w:t>
            </w:r>
          </w:p>
        </w:tc>
        <w:tc>
          <w:tcPr>
            <w:tcW w:w="3091" w:type="pct"/>
            <w:vAlign w:val="center"/>
          </w:tcPr>
          <w:p>
            <w:pPr>
              <w:spacing w:after="156" w:line="240" w:lineRule="auto"/>
              <w:ind w:firstLine="0" w:firstLineChars="0"/>
              <w:rPr>
                <w:sz w:val="21"/>
                <w:szCs w:val="21"/>
              </w:rPr>
            </w:pPr>
            <w:r>
              <w:rPr>
                <w:rFonts w:hint="eastAsia"/>
                <w:spacing w:val="7"/>
                <w:sz w:val="21"/>
                <w:szCs w:val="21"/>
              </w:rPr>
              <w:t>量程</w:t>
            </w:r>
            <w:r>
              <w:rPr>
                <w:rFonts w:hint="eastAsia"/>
                <w:sz w:val="21"/>
                <w:szCs w:val="21"/>
              </w:rPr>
              <w:t>：0.01mm/min~4mm/min</w:t>
            </w:r>
            <w:r>
              <w:rPr>
                <w:rFonts w:hint="eastAsia"/>
                <w:spacing w:val="6"/>
                <w:sz w:val="21"/>
                <w:szCs w:val="21"/>
              </w:rPr>
              <w:t>(</w:t>
            </w:r>
            <w:r>
              <w:rPr>
                <w:rFonts w:hint="eastAsia"/>
                <w:spacing w:val="7"/>
                <w:sz w:val="21"/>
                <w:szCs w:val="21"/>
              </w:rPr>
              <w:t>允许通过最</w:t>
            </w:r>
            <w:r>
              <w:rPr>
                <w:rFonts w:hint="eastAsia"/>
                <w:spacing w:val="-16"/>
                <w:sz w:val="21"/>
                <w:szCs w:val="21"/>
              </w:rPr>
              <w:t>大</w:t>
            </w:r>
            <w:r>
              <w:rPr>
                <w:rFonts w:hint="eastAsia"/>
                <w:sz w:val="21"/>
                <w:szCs w:val="21"/>
              </w:rPr>
              <w:t>雨强8mm/min)</w:t>
            </w:r>
          </w:p>
          <w:p>
            <w:pPr>
              <w:spacing w:after="156" w:line="240" w:lineRule="auto"/>
              <w:ind w:firstLine="0" w:firstLineChars="0"/>
              <w:rPr>
                <w:sz w:val="21"/>
                <w:szCs w:val="21"/>
              </w:rPr>
            </w:pPr>
            <w:r>
              <w:rPr>
                <w:rFonts w:hint="eastAsia"/>
                <w:sz w:val="21"/>
                <w:szCs w:val="21"/>
              </w:rPr>
              <w:t>精度：±0.1mm</w:t>
            </w:r>
          </w:p>
          <w:p>
            <w:pPr>
              <w:spacing w:after="156" w:line="240" w:lineRule="auto"/>
              <w:ind w:firstLine="0" w:firstLineChars="0"/>
              <w:rPr>
                <w:sz w:val="21"/>
                <w:szCs w:val="21"/>
              </w:rPr>
            </w:pPr>
            <w:r>
              <w:rPr>
                <w:rFonts w:hint="eastAsia"/>
                <w:sz w:val="21"/>
                <w:szCs w:val="21"/>
              </w:rPr>
              <w:t>分辨率：0.1mm</w:t>
            </w:r>
          </w:p>
          <w:p>
            <w:pPr>
              <w:spacing w:after="156" w:line="240" w:lineRule="auto"/>
              <w:ind w:firstLine="0" w:firstLineChars="0"/>
              <w:rPr>
                <w:sz w:val="21"/>
                <w:szCs w:val="21"/>
              </w:rPr>
            </w:pPr>
            <w:r>
              <w:rPr>
                <w:rFonts w:hint="eastAsia"/>
                <w:sz w:val="21"/>
                <w:szCs w:val="21"/>
              </w:rPr>
              <w:t>寿命：不少于5年</w:t>
            </w:r>
          </w:p>
          <w:p>
            <w:pPr>
              <w:spacing w:after="156" w:line="240" w:lineRule="auto"/>
              <w:ind w:firstLine="0" w:firstLineChars="0"/>
              <w:rPr>
                <w:sz w:val="21"/>
                <w:szCs w:val="21"/>
              </w:rPr>
            </w:pPr>
            <w:r>
              <w:rPr>
                <w:rFonts w:hint="eastAsia"/>
                <w:sz w:val="21"/>
                <w:szCs w:val="21"/>
              </w:rPr>
              <w:t>记录时间间隔：1min~99h连续可调</w:t>
            </w:r>
          </w:p>
          <w:p>
            <w:pPr>
              <w:spacing w:after="156" w:line="240" w:lineRule="auto"/>
              <w:ind w:firstLine="0" w:firstLineChars="0"/>
              <w:rPr>
                <w:sz w:val="21"/>
                <w:szCs w:val="21"/>
              </w:rPr>
            </w:pPr>
            <w:r>
              <w:rPr>
                <w:rFonts w:hint="eastAsia"/>
                <w:sz w:val="21"/>
                <w:szCs w:val="21"/>
              </w:rPr>
              <w:t>环境适用性：应具有防腐、防水等抗恶劣环境性能</w:t>
            </w:r>
          </w:p>
          <w:p>
            <w:pPr>
              <w:spacing w:after="156" w:line="240" w:lineRule="auto"/>
              <w:ind w:firstLine="0" w:firstLineChars="0"/>
              <w:rPr>
                <w:sz w:val="21"/>
                <w:szCs w:val="21"/>
                <w:lang w:eastAsia="en-US"/>
              </w:rPr>
            </w:pPr>
            <w:r>
              <w:rPr>
                <w:rFonts w:hint="eastAsia"/>
                <w:sz w:val="21"/>
                <w:szCs w:val="21"/>
                <w:lang w:eastAsia="en-US"/>
              </w:rPr>
              <w:t>防护等级：IP67</w:t>
            </w:r>
          </w:p>
        </w:tc>
        <w:tc>
          <w:tcPr>
            <w:tcW w:w="731" w:type="pct"/>
            <w:vAlign w:val="center"/>
          </w:tcPr>
          <w:p>
            <w:pPr>
              <w:spacing w:after="156" w:line="240" w:lineRule="auto"/>
              <w:ind w:firstLine="0" w:firstLineChars="0"/>
              <w:jc w:val="center"/>
              <w:rPr>
                <w:spacing w:val="7"/>
                <w:sz w:val="21"/>
                <w:szCs w:val="21"/>
              </w:rPr>
            </w:pP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648" w:type="pct"/>
            <w:vMerge w:val="continue"/>
            <w:vAlign w:val="center"/>
          </w:tcPr>
          <w:p>
            <w:pPr>
              <w:spacing w:after="156" w:line="240" w:lineRule="auto"/>
              <w:ind w:firstLine="0" w:firstLineChars="0"/>
              <w:rPr>
                <w:sz w:val="21"/>
                <w:szCs w:val="21"/>
              </w:rPr>
            </w:pPr>
          </w:p>
        </w:tc>
        <w:tc>
          <w:tcPr>
            <w:tcW w:w="530" w:type="pct"/>
            <w:vAlign w:val="center"/>
          </w:tcPr>
          <w:p>
            <w:pPr>
              <w:spacing w:after="156" w:line="240" w:lineRule="auto"/>
              <w:ind w:firstLine="0" w:firstLineChars="0"/>
              <w:rPr>
                <w:sz w:val="21"/>
                <w:szCs w:val="21"/>
              </w:rPr>
            </w:pPr>
            <w:r>
              <w:rPr>
                <w:rFonts w:hint="eastAsia"/>
                <w:sz w:val="21"/>
                <w:szCs w:val="21"/>
              </w:rPr>
              <w:t>液位（河道）</w:t>
            </w:r>
          </w:p>
        </w:tc>
        <w:tc>
          <w:tcPr>
            <w:tcW w:w="3091" w:type="pct"/>
            <w:vAlign w:val="center"/>
          </w:tcPr>
          <w:p>
            <w:pPr>
              <w:spacing w:after="156" w:line="240" w:lineRule="auto"/>
              <w:ind w:firstLine="0" w:firstLineChars="0"/>
              <w:rPr>
                <w:sz w:val="21"/>
                <w:szCs w:val="21"/>
                <w:lang w:eastAsia="en-US"/>
              </w:rPr>
            </w:pPr>
            <w:r>
              <w:rPr>
                <w:rFonts w:hint="eastAsia"/>
                <w:sz w:val="21"/>
                <w:szCs w:val="21"/>
                <w:lang w:eastAsia="en-US"/>
              </w:rPr>
              <w:t>量程：（0～20）m</w:t>
            </w:r>
          </w:p>
          <w:p>
            <w:pPr>
              <w:spacing w:after="156" w:line="240" w:lineRule="auto"/>
              <w:ind w:firstLine="0" w:firstLineChars="0"/>
              <w:rPr>
                <w:sz w:val="21"/>
                <w:szCs w:val="21"/>
                <w:lang w:eastAsia="en-US"/>
              </w:rPr>
            </w:pPr>
            <w:r>
              <w:rPr>
                <w:rFonts w:hint="eastAsia"/>
                <w:sz w:val="21"/>
                <w:szCs w:val="21"/>
                <w:lang w:eastAsia="en-US"/>
              </w:rPr>
              <w:t>精度：±1%FS</w:t>
            </w:r>
          </w:p>
          <w:p>
            <w:pPr>
              <w:spacing w:after="156" w:line="240" w:lineRule="auto"/>
              <w:ind w:firstLine="0" w:firstLineChars="0"/>
              <w:rPr>
                <w:sz w:val="21"/>
                <w:szCs w:val="21"/>
              </w:rPr>
            </w:pPr>
            <w:r>
              <w:rPr>
                <w:rFonts w:hint="eastAsia"/>
                <w:sz w:val="21"/>
                <w:szCs w:val="21"/>
              </w:rPr>
              <w:t>环境适用性：应具有防水、防尘、防腐等抗恶劣</w:t>
            </w:r>
          </w:p>
          <w:p>
            <w:pPr>
              <w:spacing w:after="156" w:line="240" w:lineRule="auto"/>
              <w:ind w:firstLine="0" w:firstLineChars="0"/>
              <w:rPr>
                <w:sz w:val="21"/>
                <w:szCs w:val="21"/>
                <w:lang w:eastAsia="en-US"/>
              </w:rPr>
            </w:pPr>
            <w:r>
              <w:rPr>
                <w:rFonts w:hint="eastAsia"/>
                <w:sz w:val="21"/>
                <w:szCs w:val="21"/>
                <w:lang w:eastAsia="en-US"/>
              </w:rPr>
              <w:t>环境性能</w:t>
            </w:r>
          </w:p>
        </w:tc>
        <w:tc>
          <w:tcPr>
            <w:tcW w:w="731" w:type="pct"/>
            <w:vAlign w:val="center"/>
          </w:tcPr>
          <w:p>
            <w:pPr>
              <w:spacing w:after="156" w:line="240" w:lineRule="auto"/>
              <w:ind w:firstLine="0" w:firstLineChars="0"/>
              <w:jc w:val="center"/>
              <w:rPr>
                <w:sz w:val="21"/>
                <w:szCs w:val="21"/>
                <w:lang w:eastAsia="en-US"/>
              </w:rPr>
            </w:pP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648" w:type="pct"/>
            <w:vMerge w:val="continue"/>
            <w:vAlign w:val="center"/>
          </w:tcPr>
          <w:p>
            <w:pPr>
              <w:spacing w:after="156" w:line="240" w:lineRule="auto"/>
              <w:ind w:firstLine="0" w:firstLineChars="0"/>
              <w:rPr>
                <w:sz w:val="21"/>
                <w:szCs w:val="21"/>
              </w:rPr>
            </w:pPr>
          </w:p>
        </w:tc>
        <w:tc>
          <w:tcPr>
            <w:tcW w:w="530" w:type="pct"/>
            <w:vAlign w:val="center"/>
          </w:tcPr>
          <w:p>
            <w:pPr>
              <w:spacing w:after="156" w:line="240" w:lineRule="auto"/>
              <w:ind w:firstLine="0" w:firstLineChars="0"/>
              <w:rPr>
                <w:sz w:val="21"/>
                <w:szCs w:val="21"/>
              </w:rPr>
            </w:pPr>
            <w:r>
              <w:rPr>
                <w:rFonts w:hint="eastAsia"/>
                <w:sz w:val="21"/>
                <w:szCs w:val="21"/>
              </w:rPr>
              <w:t>液位（易积水点和管道）</w:t>
            </w:r>
          </w:p>
        </w:tc>
        <w:tc>
          <w:tcPr>
            <w:tcW w:w="3091" w:type="pct"/>
            <w:vAlign w:val="center"/>
          </w:tcPr>
          <w:p>
            <w:pPr>
              <w:spacing w:after="156" w:line="240" w:lineRule="auto"/>
              <w:ind w:firstLine="0" w:firstLineChars="0"/>
              <w:rPr>
                <w:sz w:val="21"/>
                <w:szCs w:val="21"/>
                <w:lang w:eastAsia="en-US"/>
              </w:rPr>
            </w:pPr>
            <w:r>
              <w:rPr>
                <w:rFonts w:hint="eastAsia"/>
                <w:sz w:val="21"/>
                <w:szCs w:val="21"/>
                <w:lang w:eastAsia="en-US"/>
              </w:rPr>
              <w:t>量程：（0～20）m</w:t>
            </w:r>
          </w:p>
          <w:p>
            <w:pPr>
              <w:spacing w:after="156" w:line="240" w:lineRule="auto"/>
              <w:ind w:firstLine="0" w:firstLineChars="0"/>
              <w:rPr>
                <w:sz w:val="21"/>
                <w:szCs w:val="21"/>
                <w:lang w:eastAsia="en-US"/>
              </w:rPr>
            </w:pPr>
            <w:r>
              <w:rPr>
                <w:rFonts w:hint="eastAsia"/>
                <w:sz w:val="21"/>
                <w:szCs w:val="21"/>
                <w:lang w:eastAsia="en-US"/>
              </w:rPr>
              <w:t>精度：±1%FS</w:t>
            </w:r>
          </w:p>
          <w:p>
            <w:pPr>
              <w:spacing w:after="156" w:line="240" w:lineRule="auto"/>
              <w:ind w:firstLine="0" w:firstLineChars="0"/>
              <w:rPr>
                <w:sz w:val="21"/>
                <w:szCs w:val="21"/>
              </w:rPr>
            </w:pPr>
            <w:r>
              <w:rPr>
                <w:rFonts w:hint="eastAsia"/>
                <w:sz w:val="21"/>
                <w:szCs w:val="21"/>
              </w:rPr>
              <w:t>使用寿命：不少于5年</w:t>
            </w:r>
          </w:p>
          <w:p>
            <w:pPr>
              <w:spacing w:after="156" w:line="240" w:lineRule="auto"/>
              <w:ind w:firstLine="0" w:firstLineChars="0"/>
              <w:rPr>
                <w:sz w:val="21"/>
                <w:szCs w:val="21"/>
              </w:rPr>
            </w:pPr>
            <w:r>
              <w:rPr>
                <w:rFonts w:hint="eastAsia"/>
                <w:sz w:val="21"/>
                <w:szCs w:val="21"/>
              </w:rPr>
              <w:t>环境适用性：应具有防水、防尘、防腐等抗恶劣环境性能</w:t>
            </w:r>
          </w:p>
        </w:tc>
        <w:tc>
          <w:tcPr>
            <w:tcW w:w="731" w:type="pct"/>
            <w:vAlign w:val="center"/>
          </w:tcPr>
          <w:p>
            <w:pPr>
              <w:spacing w:after="156" w:line="240" w:lineRule="auto"/>
              <w:ind w:firstLine="0" w:firstLineChars="0"/>
              <w:jc w:val="center"/>
              <w:rPr>
                <w:sz w:val="21"/>
                <w:szCs w:val="21"/>
              </w:rPr>
            </w:pP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648" w:type="pct"/>
            <w:vMerge w:val="continue"/>
            <w:vAlign w:val="center"/>
          </w:tcPr>
          <w:p>
            <w:pPr>
              <w:spacing w:after="156" w:line="240" w:lineRule="auto"/>
              <w:ind w:firstLine="0" w:firstLineChars="0"/>
              <w:rPr>
                <w:sz w:val="21"/>
                <w:szCs w:val="21"/>
              </w:rPr>
            </w:pPr>
          </w:p>
        </w:tc>
        <w:tc>
          <w:tcPr>
            <w:tcW w:w="530" w:type="pct"/>
            <w:vAlign w:val="center"/>
          </w:tcPr>
          <w:p>
            <w:pPr>
              <w:spacing w:after="156" w:line="240" w:lineRule="auto"/>
              <w:ind w:firstLine="0" w:firstLineChars="0"/>
              <w:rPr>
                <w:sz w:val="21"/>
                <w:szCs w:val="21"/>
              </w:rPr>
            </w:pPr>
            <w:r>
              <w:rPr>
                <w:rFonts w:hint="eastAsia"/>
                <w:sz w:val="21"/>
                <w:szCs w:val="21"/>
              </w:rPr>
              <w:t>流量</w:t>
            </w:r>
          </w:p>
        </w:tc>
        <w:tc>
          <w:tcPr>
            <w:tcW w:w="3091" w:type="pct"/>
            <w:vAlign w:val="center"/>
          </w:tcPr>
          <w:p>
            <w:pPr>
              <w:spacing w:after="156" w:line="240" w:lineRule="auto"/>
              <w:ind w:firstLine="0" w:firstLineChars="0"/>
              <w:rPr>
                <w:sz w:val="21"/>
                <w:szCs w:val="21"/>
                <w:lang w:eastAsia="en-US"/>
              </w:rPr>
            </w:pPr>
            <w:r>
              <w:rPr>
                <w:rFonts w:hint="eastAsia"/>
                <w:sz w:val="21"/>
                <w:szCs w:val="21"/>
                <w:lang w:eastAsia="en-US"/>
              </w:rPr>
              <w:t>量程：（-6.0～6.0）m/s</w:t>
            </w:r>
          </w:p>
          <w:p>
            <w:pPr>
              <w:spacing w:after="156" w:line="240" w:lineRule="auto"/>
              <w:ind w:firstLine="0" w:firstLineChars="0"/>
              <w:rPr>
                <w:sz w:val="21"/>
                <w:szCs w:val="21"/>
                <w:lang w:eastAsia="en-US"/>
              </w:rPr>
            </w:pPr>
            <w:r>
              <w:rPr>
                <w:rFonts w:hint="eastAsia"/>
                <w:sz w:val="21"/>
                <w:szCs w:val="21"/>
                <w:lang w:eastAsia="en-US"/>
              </w:rPr>
              <w:t>精度：±1%FS</w:t>
            </w:r>
          </w:p>
          <w:p>
            <w:pPr>
              <w:spacing w:after="156" w:line="240" w:lineRule="auto"/>
              <w:ind w:firstLine="0" w:firstLineChars="0"/>
              <w:rPr>
                <w:sz w:val="21"/>
                <w:szCs w:val="21"/>
              </w:rPr>
            </w:pPr>
            <w:r>
              <w:rPr>
                <w:rFonts w:hint="eastAsia"/>
                <w:sz w:val="21"/>
                <w:szCs w:val="21"/>
              </w:rPr>
              <w:t>使用寿命：不少于5年</w:t>
            </w:r>
          </w:p>
          <w:p>
            <w:pPr>
              <w:spacing w:after="156" w:line="240" w:lineRule="auto"/>
              <w:ind w:firstLine="0" w:firstLineChars="0"/>
              <w:rPr>
                <w:sz w:val="21"/>
                <w:szCs w:val="21"/>
              </w:rPr>
            </w:pPr>
            <w:r>
              <w:rPr>
                <w:rFonts w:hint="eastAsia"/>
                <w:sz w:val="21"/>
                <w:szCs w:val="21"/>
              </w:rPr>
              <w:t>环境适用性：应具有防水防尘、防爆、防腐等抗</w:t>
            </w:r>
          </w:p>
          <w:p>
            <w:pPr>
              <w:spacing w:after="156" w:line="240" w:lineRule="auto"/>
              <w:ind w:firstLine="0" w:firstLineChars="0"/>
              <w:rPr>
                <w:sz w:val="21"/>
                <w:szCs w:val="21"/>
                <w:lang w:eastAsia="en-US"/>
              </w:rPr>
            </w:pPr>
            <w:r>
              <w:rPr>
                <w:rFonts w:hint="eastAsia"/>
                <w:sz w:val="21"/>
                <w:szCs w:val="21"/>
                <w:lang w:eastAsia="en-US"/>
              </w:rPr>
              <w:t>恶劣环境性能</w:t>
            </w:r>
          </w:p>
        </w:tc>
        <w:tc>
          <w:tcPr>
            <w:tcW w:w="731" w:type="pct"/>
            <w:vAlign w:val="center"/>
          </w:tcPr>
          <w:p>
            <w:pPr>
              <w:spacing w:after="156" w:line="240" w:lineRule="auto"/>
              <w:ind w:firstLine="0" w:firstLineChars="0"/>
              <w:jc w:val="center"/>
              <w:rPr>
                <w:sz w:val="21"/>
                <w:szCs w:val="21"/>
                <w:lang w:eastAsia="en-US"/>
              </w:rPr>
            </w:pP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648" w:type="pct"/>
            <w:vMerge w:val="continue"/>
            <w:vAlign w:val="center"/>
          </w:tcPr>
          <w:p>
            <w:pPr>
              <w:spacing w:after="156" w:line="240" w:lineRule="auto"/>
              <w:ind w:firstLine="0" w:firstLineChars="0"/>
              <w:rPr>
                <w:sz w:val="21"/>
                <w:szCs w:val="21"/>
                <w:lang w:eastAsia="en-US"/>
              </w:rPr>
            </w:pPr>
          </w:p>
        </w:tc>
        <w:tc>
          <w:tcPr>
            <w:tcW w:w="530" w:type="pct"/>
            <w:vAlign w:val="center"/>
          </w:tcPr>
          <w:p>
            <w:pPr>
              <w:spacing w:after="156" w:line="240" w:lineRule="auto"/>
              <w:ind w:firstLine="0" w:firstLineChars="0"/>
              <w:rPr>
                <w:sz w:val="21"/>
                <w:szCs w:val="21"/>
              </w:rPr>
            </w:pPr>
            <w:r>
              <w:rPr>
                <w:rFonts w:hint="eastAsia"/>
                <w:sz w:val="21"/>
                <w:szCs w:val="21"/>
              </w:rPr>
              <w:t>井盖位移</w:t>
            </w:r>
          </w:p>
        </w:tc>
        <w:tc>
          <w:tcPr>
            <w:tcW w:w="3091" w:type="pct"/>
            <w:vAlign w:val="center"/>
          </w:tcPr>
          <w:p>
            <w:pPr>
              <w:spacing w:after="156" w:line="240" w:lineRule="auto"/>
              <w:ind w:firstLine="0" w:firstLineChars="0"/>
              <w:rPr>
                <w:sz w:val="21"/>
                <w:szCs w:val="21"/>
              </w:rPr>
            </w:pPr>
            <w:r>
              <w:rPr>
                <w:rFonts w:hint="eastAsia"/>
                <w:sz w:val="21"/>
                <w:szCs w:val="21"/>
              </w:rPr>
              <w:t>电池寿命：大于3年，并可更换</w:t>
            </w:r>
          </w:p>
          <w:p>
            <w:pPr>
              <w:spacing w:after="156" w:line="240" w:lineRule="auto"/>
              <w:ind w:firstLine="0" w:firstLineChars="0"/>
              <w:rPr>
                <w:sz w:val="21"/>
                <w:szCs w:val="21"/>
              </w:rPr>
            </w:pPr>
            <w:r>
              <w:rPr>
                <w:rFonts w:hint="eastAsia"/>
                <w:sz w:val="21"/>
                <w:szCs w:val="21"/>
              </w:rPr>
              <w:t>工作温度：（-20～80）℃</w:t>
            </w:r>
          </w:p>
          <w:p>
            <w:pPr>
              <w:spacing w:after="156" w:line="240" w:lineRule="auto"/>
              <w:ind w:firstLine="0" w:firstLineChars="0"/>
              <w:rPr>
                <w:sz w:val="21"/>
                <w:szCs w:val="21"/>
              </w:rPr>
            </w:pPr>
            <w:r>
              <w:rPr>
                <w:rFonts w:hint="eastAsia"/>
                <w:sz w:val="21"/>
                <w:szCs w:val="21"/>
              </w:rPr>
              <w:t>IP等级：不低于IP67</w:t>
            </w:r>
          </w:p>
        </w:tc>
        <w:tc>
          <w:tcPr>
            <w:tcW w:w="731" w:type="pct"/>
            <w:vAlign w:val="center"/>
          </w:tcPr>
          <w:p>
            <w:pPr>
              <w:spacing w:after="156" w:line="240" w:lineRule="auto"/>
              <w:ind w:firstLine="0" w:firstLineChars="0"/>
              <w:jc w:val="center"/>
              <w:rPr>
                <w:sz w:val="21"/>
                <w:szCs w:val="21"/>
              </w:rPr>
            </w:pP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648" w:type="pct"/>
            <w:vMerge w:val="continue"/>
            <w:vAlign w:val="center"/>
          </w:tcPr>
          <w:p>
            <w:pPr>
              <w:spacing w:after="156" w:line="240" w:lineRule="auto"/>
              <w:ind w:firstLine="0" w:firstLineChars="0"/>
              <w:rPr>
                <w:sz w:val="21"/>
                <w:szCs w:val="21"/>
              </w:rPr>
            </w:pPr>
          </w:p>
        </w:tc>
        <w:tc>
          <w:tcPr>
            <w:tcW w:w="530" w:type="pct"/>
            <w:vAlign w:val="center"/>
          </w:tcPr>
          <w:p>
            <w:pPr>
              <w:spacing w:after="156" w:line="240" w:lineRule="auto"/>
              <w:ind w:firstLine="0" w:firstLineChars="0"/>
              <w:rPr>
                <w:sz w:val="21"/>
                <w:szCs w:val="21"/>
              </w:rPr>
            </w:pPr>
            <w:r>
              <w:rPr>
                <w:rFonts w:hint="eastAsia"/>
                <w:sz w:val="21"/>
                <w:szCs w:val="21"/>
              </w:rPr>
              <w:t>视频监控</w:t>
            </w:r>
          </w:p>
        </w:tc>
        <w:tc>
          <w:tcPr>
            <w:tcW w:w="3091" w:type="pct"/>
            <w:vAlign w:val="center"/>
          </w:tcPr>
          <w:p>
            <w:pPr>
              <w:spacing w:after="156" w:line="240" w:lineRule="auto"/>
              <w:ind w:firstLine="0" w:firstLineChars="0"/>
              <w:rPr>
                <w:sz w:val="21"/>
                <w:szCs w:val="21"/>
              </w:rPr>
            </w:pPr>
            <w:r>
              <w:rPr>
                <w:rFonts w:hint="eastAsia"/>
                <w:sz w:val="21"/>
                <w:szCs w:val="21"/>
              </w:rPr>
              <w:t>分辨率：不小于1,600TVL</w:t>
            </w:r>
          </w:p>
          <w:p>
            <w:pPr>
              <w:spacing w:after="156" w:line="240" w:lineRule="auto"/>
              <w:ind w:firstLine="0" w:firstLineChars="0"/>
              <w:rPr>
                <w:sz w:val="21"/>
                <w:szCs w:val="21"/>
              </w:rPr>
            </w:pPr>
            <w:r>
              <w:rPr>
                <w:rFonts w:hint="eastAsia"/>
                <w:sz w:val="21"/>
                <w:szCs w:val="21"/>
              </w:rPr>
              <w:t>工作温度范围：（-50～70）℃</w:t>
            </w:r>
          </w:p>
          <w:p>
            <w:pPr>
              <w:spacing w:after="156" w:line="240" w:lineRule="auto"/>
              <w:ind w:firstLine="0" w:firstLineChars="0"/>
              <w:rPr>
                <w:sz w:val="21"/>
                <w:szCs w:val="21"/>
                <w:lang w:eastAsia="en-US"/>
              </w:rPr>
            </w:pPr>
            <w:r>
              <w:rPr>
                <w:rFonts w:hint="eastAsia"/>
                <w:sz w:val="21"/>
                <w:szCs w:val="21"/>
                <w:lang w:eastAsia="en-US"/>
              </w:rPr>
              <w:t>IP等级：不低于IP65</w:t>
            </w:r>
          </w:p>
        </w:tc>
        <w:tc>
          <w:tcPr>
            <w:tcW w:w="731" w:type="pct"/>
            <w:vAlign w:val="center"/>
          </w:tcPr>
          <w:p>
            <w:pPr>
              <w:spacing w:after="156" w:line="240" w:lineRule="auto"/>
              <w:ind w:firstLine="0" w:firstLineChars="0"/>
              <w:jc w:val="center"/>
              <w:rPr>
                <w:sz w:val="21"/>
                <w:szCs w:val="21"/>
              </w:rPr>
            </w:pPr>
            <w:r>
              <w:rPr>
                <w:rFonts w:hint="eastAsia"/>
                <w:sz w:val="24"/>
              </w:rPr>
              <w:t>○</w:t>
            </w:r>
          </w:p>
        </w:tc>
      </w:tr>
      <w:bookmarkEnd w:id="64"/>
    </w:tbl>
    <w:p>
      <w:pPr>
        <w:spacing w:after="156"/>
        <w:ind w:firstLine="0" w:firstLineChars="0"/>
        <w:jc w:val="center"/>
        <w:rPr>
          <w:sz w:val="24"/>
        </w:rPr>
      </w:pPr>
      <w:bookmarkStart w:id="65" w:name="_Hlk163820450"/>
      <w:r>
        <w:rPr>
          <w:rFonts w:hint="eastAsia"/>
          <w:sz w:val="24"/>
        </w:rPr>
        <w:t>备注：★应监测指标▲宜监测指标○可监测指标</w:t>
      </w:r>
    </w:p>
    <w:p>
      <w:pPr>
        <w:spacing w:after="156"/>
      </w:pPr>
      <w:r>
        <w:rPr>
          <w:rFonts w:hint="eastAsia"/>
        </w:rPr>
        <w:t>雨水管网的监测传感装置应根据雨水管网风险评估结果确定，较大风险及以上的必须安装监测设备。优先选择以下点位进行布点：</w:t>
      </w:r>
    </w:p>
    <w:p>
      <w:pPr>
        <w:spacing w:after="156"/>
      </w:pPr>
      <w:r>
        <w:rPr>
          <w:rFonts w:hint="eastAsia"/>
        </w:rPr>
        <w:t>（1）历史积水点和易涝点；</w:t>
      </w:r>
    </w:p>
    <w:p>
      <w:pPr>
        <w:spacing w:after="156"/>
      </w:pPr>
      <w:r>
        <w:rPr>
          <w:rFonts w:hint="eastAsia"/>
        </w:rPr>
        <w:t>（</w:t>
      </w:r>
      <w:r>
        <w:t>2</w:t>
      </w:r>
      <w:r>
        <w:rPr>
          <w:rFonts w:hint="eastAsia"/>
        </w:rPr>
        <w:t>）重点主干道路和雨水管网；</w:t>
      </w:r>
    </w:p>
    <w:p>
      <w:pPr>
        <w:spacing w:after="156"/>
      </w:pPr>
      <w:r>
        <w:rPr>
          <w:rFonts w:hint="eastAsia"/>
        </w:rPr>
        <w:t>（3）雨水管网主干管；</w:t>
      </w:r>
    </w:p>
    <w:p>
      <w:pPr>
        <w:spacing w:after="156"/>
      </w:pPr>
      <w:r>
        <w:rPr>
          <w:rFonts w:hint="eastAsia"/>
        </w:rPr>
        <w:t>（</w:t>
      </w:r>
      <w:r>
        <w:t>4</w:t>
      </w:r>
      <w:r>
        <w:rPr>
          <w:rFonts w:hint="eastAsia"/>
        </w:rPr>
        <w:t>）雨水泵站进水管；</w:t>
      </w:r>
    </w:p>
    <w:p>
      <w:pPr>
        <w:spacing w:after="156"/>
      </w:pPr>
      <w:r>
        <w:rPr>
          <w:rFonts w:hint="eastAsia"/>
        </w:rPr>
        <w:t>（</w:t>
      </w:r>
      <w:r>
        <w:t>5</w:t>
      </w:r>
      <w:r>
        <w:rPr>
          <w:rFonts w:hint="eastAsia"/>
        </w:rPr>
        <w:t>）主要雨水排口和合流制排口；</w:t>
      </w:r>
    </w:p>
    <w:p>
      <w:pPr>
        <w:spacing w:after="156"/>
      </w:pPr>
      <w:r>
        <w:rPr>
          <w:rFonts w:hint="eastAsia"/>
        </w:rPr>
        <w:t>（</w:t>
      </w:r>
      <w:r>
        <w:t>6</w:t>
      </w:r>
      <w:r>
        <w:rPr>
          <w:rFonts w:hint="eastAsia"/>
        </w:rPr>
        <w:t>）沼气堆积或燃气管网相邻的排水井及其联通空间。</w:t>
      </w:r>
    </w:p>
    <w:bookmarkEnd w:id="65"/>
    <w:p>
      <w:pPr>
        <w:pStyle w:val="3"/>
        <w:spacing w:after="156"/>
      </w:pPr>
      <w:bookmarkStart w:id="66" w:name="_Toc184031841"/>
      <w:bookmarkStart w:id="67" w:name="_Toc182299754"/>
      <w:r>
        <w:rPr>
          <w:rFonts w:hint="eastAsia"/>
        </w:rPr>
        <w:t>排水（污水）管网感知网络建设要求</w:t>
      </w:r>
      <w:bookmarkEnd w:id="66"/>
      <w:bookmarkEnd w:id="67"/>
    </w:p>
    <w:p>
      <w:pPr>
        <w:spacing w:after="156"/>
      </w:pPr>
      <w:bookmarkStart w:id="68" w:name="_Hlk163820525"/>
      <w:r>
        <w:rPr>
          <w:rFonts w:hint="eastAsia"/>
        </w:rPr>
        <w:t>排水（污水）管网安全监测对象主要为城市污水管网及其附属设施。通过在污水管网安装流量、液位传感器和水污染溯源仪等水质传感器，对污水管网和泵站流量、液位和水质运行状态的实时在线监测，实现对污水管网溢流、水质污染等风险的防控。</w:t>
      </w:r>
    </w:p>
    <w:bookmarkEnd w:id="68"/>
    <w:p>
      <w:pPr>
        <w:pStyle w:val="11"/>
        <w:spacing w:after="156"/>
      </w:pPr>
      <w:r>
        <w:rPr>
          <w:rFonts w:hint="eastAsia"/>
        </w:rPr>
        <w:t>表</w:t>
      </w:r>
      <w:r>
        <w:fldChar w:fldCharType="begin"/>
      </w:r>
      <w:r>
        <w:instrText xml:space="preserve"> </w:instrText>
      </w:r>
      <w:r>
        <w:rPr>
          <w:rFonts w:hint="eastAsia"/>
        </w:rPr>
        <w:instrText xml:space="preserve">STYLEREF 2 \s</w:instrText>
      </w:r>
      <w:r>
        <w:instrText xml:space="preserve"> </w:instrText>
      </w:r>
      <w:r>
        <w:fldChar w:fldCharType="separate"/>
      </w:r>
      <w:r>
        <w:t>7.4</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t>1</w:t>
      </w:r>
      <w:r>
        <w:fldChar w:fldCharType="end"/>
      </w:r>
      <w:bookmarkStart w:id="69" w:name="_Hlk163820551"/>
      <w:r>
        <w:rPr>
          <w:rFonts w:hint="eastAsia"/>
        </w:rPr>
        <w:t>排水（污水）监测对象及主要指标</w:t>
      </w:r>
      <w:bookmarkEnd w:id="69"/>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21"/>
        <w:gridCol w:w="549"/>
        <w:gridCol w:w="757"/>
        <w:gridCol w:w="4973"/>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94" w:type="pct"/>
            <w:vAlign w:val="center"/>
          </w:tcPr>
          <w:p>
            <w:pPr>
              <w:spacing w:after="156" w:line="240" w:lineRule="auto"/>
              <w:ind w:firstLine="0" w:firstLineChars="0"/>
              <w:jc w:val="center"/>
              <w:rPr>
                <w:sz w:val="21"/>
                <w:szCs w:val="21"/>
                <w:lang w:eastAsia="en-US"/>
              </w:rPr>
            </w:pPr>
            <w:bookmarkStart w:id="70" w:name="_Hlk163820538"/>
            <w:r>
              <w:rPr>
                <w:rFonts w:hint="eastAsia"/>
                <w:sz w:val="21"/>
                <w:szCs w:val="21"/>
                <w:lang w:eastAsia="en-US"/>
              </w:rPr>
              <w:t>监测对象</w:t>
            </w:r>
          </w:p>
        </w:tc>
        <w:tc>
          <w:tcPr>
            <w:tcW w:w="785" w:type="pct"/>
            <w:gridSpan w:val="2"/>
            <w:vAlign w:val="center"/>
          </w:tcPr>
          <w:p>
            <w:pPr>
              <w:spacing w:after="156" w:line="240" w:lineRule="auto"/>
              <w:ind w:firstLine="0" w:firstLineChars="0"/>
              <w:jc w:val="center"/>
              <w:rPr>
                <w:sz w:val="21"/>
                <w:szCs w:val="21"/>
                <w:lang w:eastAsia="en-US"/>
              </w:rPr>
            </w:pPr>
            <w:r>
              <w:rPr>
                <w:rFonts w:hint="eastAsia"/>
                <w:sz w:val="21"/>
                <w:szCs w:val="21"/>
                <w:lang w:eastAsia="en-US"/>
              </w:rPr>
              <w:t>监测指标</w:t>
            </w:r>
          </w:p>
        </w:tc>
        <w:tc>
          <w:tcPr>
            <w:tcW w:w="2990" w:type="pct"/>
            <w:vAlign w:val="center"/>
          </w:tcPr>
          <w:p>
            <w:pPr>
              <w:spacing w:after="156" w:line="240" w:lineRule="auto"/>
              <w:ind w:firstLine="0" w:firstLineChars="0"/>
              <w:jc w:val="center"/>
              <w:rPr>
                <w:sz w:val="21"/>
                <w:szCs w:val="21"/>
                <w:lang w:eastAsia="en-US"/>
              </w:rPr>
            </w:pPr>
            <w:r>
              <w:rPr>
                <w:rFonts w:hint="eastAsia"/>
                <w:sz w:val="21"/>
                <w:szCs w:val="21"/>
                <w:lang w:eastAsia="en-US"/>
              </w:rPr>
              <w:t>监测设备技术要求</w:t>
            </w:r>
          </w:p>
        </w:tc>
        <w:tc>
          <w:tcPr>
            <w:tcW w:w="731" w:type="pct"/>
            <w:vAlign w:val="center"/>
          </w:tcPr>
          <w:p>
            <w:pPr>
              <w:spacing w:after="156" w:line="240" w:lineRule="auto"/>
              <w:ind w:firstLine="0" w:firstLineChars="0"/>
              <w:jc w:val="center"/>
              <w:rPr>
                <w:sz w:val="21"/>
                <w:szCs w:val="21"/>
                <w:lang w:eastAsia="en-US"/>
              </w:rPr>
            </w:pPr>
            <w:r>
              <w:rPr>
                <w:rFonts w:hint="eastAsia"/>
                <w:sz w:val="21"/>
                <w:szCs w:val="21"/>
              </w:rPr>
              <w:t>建设优先级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5" w:hRule="atLeast"/>
        </w:trPr>
        <w:tc>
          <w:tcPr>
            <w:tcW w:w="494" w:type="pct"/>
            <w:vMerge w:val="restart"/>
            <w:vAlign w:val="center"/>
          </w:tcPr>
          <w:p>
            <w:pPr>
              <w:spacing w:after="156" w:line="240" w:lineRule="auto"/>
              <w:ind w:firstLine="0" w:firstLineChars="0"/>
              <w:rPr>
                <w:sz w:val="21"/>
                <w:szCs w:val="21"/>
              </w:rPr>
            </w:pPr>
            <w:r>
              <w:rPr>
                <w:rFonts w:hint="eastAsia"/>
                <w:sz w:val="21"/>
                <w:szCs w:val="21"/>
              </w:rPr>
              <w:t>污水管网及其附属设施（包括合流制管网）</w:t>
            </w:r>
          </w:p>
        </w:tc>
        <w:tc>
          <w:tcPr>
            <w:tcW w:w="785" w:type="pct"/>
            <w:gridSpan w:val="2"/>
            <w:vAlign w:val="center"/>
          </w:tcPr>
          <w:p>
            <w:pPr>
              <w:spacing w:after="156" w:line="240" w:lineRule="auto"/>
              <w:ind w:firstLine="0" w:firstLineChars="0"/>
              <w:rPr>
                <w:sz w:val="21"/>
                <w:szCs w:val="21"/>
              </w:rPr>
            </w:pPr>
            <w:r>
              <w:rPr>
                <w:rFonts w:hint="eastAsia"/>
                <w:sz w:val="21"/>
                <w:szCs w:val="21"/>
              </w:rPr>
              <w:t>流量</w:t>
            </w:r>
          </w:p>
        </w:tc>
        <w:tc>
          <w:tcPr>
            <w:tcW w:w="2990" w:type="pct"/>
            <w:vAlign w:val="center"/>
          </w:tcPr>
          <w:p>
            <w:pPr>
              <w:spacing w:after="156" w:line="240" w:lineRule="auto"/>
              <w:ind w:firstLine="0" w:firstLineChars="0"/>
              <w:rPr>
                <w:sz w:val="21"/>
                <w:szCs w:val="21"/>
                <w:lang w:eastAsia="en-US"/>
              </w:rPr>
            </w:pPr>
            <w:r>
              <w:rPr>
                <w:rFonts w:hint="eastAsia"/>
                <w:sz w:val="21"/>
                <w:szCs w:val="21"/>
                <w:lang w:eastAsia="en-US"/>
              </w:rPr>
              <w:t>量程：（-6.0～6.0）m/s</w:t>
            </w:r>
          </w:p>
          <w:p>
            <w:pPr>
              <w:spacing w:after="156" w:line="240" w:lineRule="auto"/>
              <w:ind w:firstLine="0" w:firstLineChars="0"/>
              <w:rPr>
                <w:sz w:val="21"/>
                <w:szCs w:val="21"/>
                <w:lang w:eastAsia="en-US"/>
              </w:rPr>
            </w:pPr>
            <w:r>
              <w:rPr>
                <w:rFonts w:hint="eastAsia"/>
                <w:sz w:val="21"/>
                <w:szCs w:val="21"/>
                <w:lang w:eastAsia="en-US"/>
              </w:rPr>
              <w:t>精度：±1%FS</w:t>
            </w:r>
          </w:p>
          <w:p>
            <w:pPr>
              <w:spacing w:after="156" w:line="240" w:lineRule="auto"/>
              <w:ind w:firstLine="0" w:firstLineChars="0"/>
              <w:rPr>
                <w:sz w:val="21"/>
                <w:szCs w:val="21"/>
              </w:rPr>
            </w:pPr>
            <w:r>
              <w:rPr>
                <w:rFonts w:hint="eastAsia"/>
                <w:sz w:val="21"/>
                <w:szCs w:val="21"/>
              </w:rPr>
              <w:t>使用寿命：不少于5年</w:t>
            </w:r>
          </w:p>
          <w:p>
            <w:pPr>
              <w:spacing w:after="156" w:line="240" w:lineRule="auto"/>
              <w:ind w:firstLine="0" w:firstLineChars="0"/>
              <w:rPr>
                <w:sz w:val="21"/>
                <w:szCs w:val="21"/>
              </w:rPr>
            </w:pPr>
            <w:r>
              <w:rPr>
                <w:rFonts w:hint="eastAsia"/>
                <w:sz w:val="21"/>
                <w:szCs w:val="21"/>
              </w:rPr>
              <w:t>环境适用性：应具有防水、防尘、防爆、防腐</w:t>
            </w:r>
          </w:p>
          <w:p>
            <w:pPr>
              <w:spacing w:after="156" w:line="240" w:lineRule="auto"/>
              <w:ind w:firstLine="0" w:firstLineChars="0"/>
              <w:rPr>
                <w:sz w:val="21"/>
                <w:szCs w:val="21"/>
                <w:lang w:eastAsia="en-US"/>
              </w:rPr>
            </w:pPr>
            <w:r>
              <w:rPr>
                <w:rFonts w:hint="eastAsia"/>
                <w:sz w:val="21"/>
                <w:szCs w:val="21"/>
                <w:lang w:eastAsia="en-US"/>
              </w:rPr>
              <w:t>等抗恶劣环境性能</w:t>
            </w:r>
          </w:p>
        </w:tc>
        <w:tc>
          <w:tcPr>
            <w:tcW w:w="731" w:type="pct"/>
            <w:vAlign w:val="center"/>
          </w:tcPr>
          <w:p>
            <w:pPr>
              <w:spacing w:after="156" w:line="240" w:lineRule="auto"/>
              <w:ind w:firstLine="0" w:firstLineChars="0"/>
              <w:jc w:val="center"/>
              <w:rPr>
                <w:sz w:val="21"/>
                <w:szCs w:val="21"/>
                <w:lang w:eastAsia="en-US"/>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6" w:hRule="atLeast"/>
        </w:trPr>
        <w:tc>
          <w:tcPr>
            <w:tcW w:w="494" w:type="pct"/>
            <w:vMerge w:val="continue"/>
            <w:vAlign w:val="center"/>
          </w:tcPr>
          <w:p>
            <w:pPr>
              <w:spacing w:after="156" w:line="240" w:lineRule="auto"/>
              <w:ind w:firstLine="0" w:firstLineChars="0"/>
              <w:rPr>
                <w:sz w:val="21"/>
                <w:szCs w:val="21"/>
              </w:rPr>
            </w:pPr>
          </w:p>
        </w:tc>
        <w:tc>
          <w:tcPr>
            <w:tcW w:w="785" w:type="pct"/>
            <w:gridSpan w:val="2"/>
            <w:vAlign w:val="center"/>
          </w:tcPr>
          <w:p>
            <w:pPr>
              <w:spacing w:after="156" w:line="240" w:lineRule="auto"/>
              <w:ind w:firstLine="0" w:firstLineChars="0"/>
              <w:rPr>
                <w:sz w:val="21"/>
                <w:szCs w:val="21"/>
              </w:rPr>
            </w:pPr>
            <w:r>
              <w:rPr>
                <w:rFonts w:hint="eastAsia"/>
                <w:sz w:val="21"/>
                <w:szCs w:val="21"/>
              </w:rPr>
              <w:t>管道/格栅前池液位</w:t>
            </w:r>
          </w:p>
        </w:tc>
        <w:tc>
          <w:tcPr>
            <w:tcW w:w="2990" w:type="pct"/>
            <w:vAlign w:val="center"/>
          </w:tcPr>
          <w:p>
            <w:pPr>
              <w:spacing w:after="156" w:line="240" w:lineRule="auto"/>
              <w:ind w:firstLine="0" w:firstLineChars="0"/>
              <w:rPr>
                <w:sz w:val="21"/>
                <w:szCs w:val="21"/>
                <w:lang w:eastAsia="en-US"/>
              </w:rPr>
            </w:pPr>
            <w:r>
              <w:rPr>
                <w:rFonts w:hint="eastAsia"/>
                <w:sz w:val="21"/>
                <w:szCs w:val="21"/>
                <w:lang w:eastAsia="en-US"/>
              </w:rPr>
              <w:t>量程：（0～20）m</w:t>
            </w:r>
          </w:p>
          <w:p>
            <w:pPr>
              <w:spacing w:after="156" w:line="240" w:lineRule="auto"/>
              <w:ind w:firstLine="0" w:firstLineChars="0"/>
              <w:rPr>
                <w:sz w:val="21"/>
                <w:szCs w:val="21"/>
                <w:lang w:eastAsia="en-US"/>
              </w:rPr>
            </w:pPr>
            <w:r>
              <w:rPr>
                <w:rFonts w:hint="eastAsia"/>
                <w:sz w:val="21"/>
                <w:szCs w:val="21"/>
                <w:lang w:eastAsia="en-US"/>
              </w:rPr>
              <w:t>精度：±1%FS</w:t>
            </w:r>
          </w:p>
          <w:p>
            <w:pPr>
              <w:spacing w:after="156" w:line="240" w:lineRule="auto"/>
              <w:ind w:firstLine="0" w:firstLineChars="0"/>
              <w:rPr>
                <w:sz w:val="21"/>
                <w:szCs w:val="21"/>
              </w:rPr>
            </w:pPr>
            <w:r>
              <w:rPr>
                <w:rFonts w:hint="eastAsia"/>
                <w:sz w:val="21"/>
                <w:szCs w:val="21"/>
              </w:rPr>
              <w:t>使用寿命：不少于5年</w:t>
            </w:r>
          </w:p>
          <w:p>
            <w:pPr>
              <w:spacing w:after="156" w:line="240" w:lineRule="auto"/>
              <w:ind w:firstLine="0" w:firstLineChars="0"/>
              <w:rPr>
                <w:sz w:val="21"/>
                <w:szCs w:val="21"/>
              </w:rPr>
            </w:pPr>
            <w:r>
              <w:rPr>
                <w:rFonts w:hint="eastAsia"/>
                <w:sz w:val="21"/>
                <w:szCs w:val="21"/>
              </w:rPr>
              <w:t>环境适用性：应具有防水、防尘、防爆、防腐等抗恶劣环境性能</w:t>
            </w:r>
          </w:p>
        </w:tc>
        <w:tc>
          <w:tcPr>
            <w:tcW w:w="731" w:type="pct"/>
            <w:vAlign w:val="center"/>
          </w:tcPr>
          <w:p>
            <w:pPr>
              <w:spacing w:after="156" w:line="240" w:lineRule="auto"/>
              <w:ind w:firstLine="0" w:firstLineChars="0"/>
              <w:jc w:val="center"/>
              <w:rPr>
                <w:sz w:val="21"/>
                <w:szCs w:val="21"/>
                <w:lang w:eastAsia="en-US"/>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6" w:hRule="atLeast"/>
        </w:trPr>
        <w:tc>
          <w:tcPr>
            <w:tcW w:w="494" w:type="pct"/>
            <w:vMerge w:val="continue"/>
            <w:vAlign w:val="center"/>
          </w:tcPr>
          <w:p>
            <w:pPr>
              <w:spacing w:after="156" w:line="240" w:lineRule="auto"/>
              <w:ind w:firstLine="0" w:firstLineChars="0"/>
              <w:rPr>
                <w:sz w:val="21"/>
                <w:szCs w:val="21"/>
              </w:rPr>
            </w:pPr>
          </w:p>
        </w:tc>
        <w:tc>
          <w:tcPr>
            <w:tcW w:w="330" w:type="pct"/>
            <w:vMerge w:val="restart"/>
            <w:vAlign w:val="center"/>
          </w:tcPr>
          <w:p>
            <w:pPr>
              <w:spacing w:after="156" w:line="240" w:lineRule="auto"/>
              <w:ind w:firstLine="0" w:firstLineChars="0"/>
              <w:rPr>
                <w:sz w:val="21"/>
                <w:szCs w:val="21"/>
              </w:rPr>
            </w:pPr>
            <w:r>
              <w:rPr>
                <w:rFonts w:hint="eastAsia"/>
                <w:sz w:val="21"/>
                <w:szCs w:val="21"/>
              </w:rPr>
              <w:t>水质</w:t>
            </w:r>
          </w:p>
        </w:tc>
        <w:tc>
          <w:tcPr>
            <w:tcW w:w="455" w:type="pct"/>
            <w:vAlign w:val="center"/>
          </w:tcPr>
          <w:p>
            <w:pPr>
              <w:spacing w:after="156" w:line="240" w:lineRule="auto"/>
              <w:ind w:firstLine="0" w:firstLineChars="0"/>
              <w:rPr>
                <w:sz w:val="21"/>
                <w:szCs w:val="21"/>
              </w:rPr>
            </w:pPr>
            <w:r>
              <w:rPr>
                <w:rFonts w:hint="eastAsia"/>
                <w:sz w:val="21"/>
                <w:szCs w:val="21"/>
              </w:rPr>
              <w:t>pH</w:t>
            </w:r>
          </w:p>
        </w:tc>
        <w:tc>
          <w:tcPr>
            <w:tcW w:w="2990" w:type="pct"/>
            <w:vAlign w:val="center"/>
          </w:tcPr>
          <w:p>
            <w:pPr>
              <w:spacing w:after="156" w:line="240" w:lineRule="auto"/>
              <w:ind w:firstLine="0" w:firstLineChars="0"/>
              <w:rPr>
                <w:sz w:val="21"/>
                <w:szCs w:val="21"/>
              </w:rPr>
            </w:pPr>
            <w:r>
              <w:rPr>
                <w:rFonts w:hint="eastAsia"/>
                <w:sz w:val="21"/>
                <w:szCs w:val="21"/>
              </w:rPr>
              <w:t>测试范围：2～14</w:t>
            </w:r>
          </w:p>
          <w:p>
            <w:pPr>
              <w:spacing w:after="156" w:line="240" w:lineRule="auto"/>
              <w:ind w:firstLine="0" w:firstLineChars="0"/>
              <w:rPr>
                <w:sz w:val="21"/>
                <w:szCs w:val="21"/>
              </w:rPr>
            </w:pPr>
            <w:r>
              <w:rPr>
                <w:rFonts w:hint="eastAsia"/>
                <w:sz w:val="21"/>
                <w:szCs w:val="21"/>
              </w:rPr>
              <w:t>分辨率：最小</w:t>
            </w:r>
            <w:r>
              <w:rPr>
                <w:rFonts w:hint="eastAsia"/>
                <w:spacing w:val="-4"/>
                <w:sz w:val="21"/>
                <w:szCs w:val="21"/>
              </w:rPr>
              <w:t>0.001</w:t>
            </w:r>
          </w:p>
          <w:p>
            <w:pPr>
              <w:spacing w:after="156" w:line="240" w:lineRule="auto"/>
              <w:ind w:firstLine="0" w:firstLineChars="0"/>
              <w:rPr>
                <w:sz w:val="21"/>
                <w:szCs w:val="21"/>
              </w:rPr>
            </w:pPr>
            <w:r>
              <w:rPr>
                <w:rFonts w:hint="eastAsia"/>
                <w:sz w:val="21"/>
                <w:szCs w:val="21"/>
              </w:rPr>
              <w:t>响应时间：小于20s</w:t>
            </w:r>
          </w:p>
          <w:p>
            <w:pPr>
              <w:spacing w:after="156" w:line="240" w:lineRule="auto"/>
              <w:ind w:firstLine="0" w:firstLineChars="0"/>
              <w:rPr>
                <w:sz w:val="21"/>
                <w:szCs w:val="21"/>
              </w:rPr>
            </w:pPr>
            <w:r>
              <w:rPr>
                <w:rFonts w:hint="eastAsia"/>
                <w:sz w:val="21"/>
                <w:szCs w:val="21"/>
              </w:rPr>
              <w:t>使用寿命：不少于5年</w:t>
            </w:r>
          </w:p>
          <w:p>
            <w:pPr>
              <w:spacing w:after="156" w:line="240" w:lineRule="auto"/>
              <w:ind w:firstLine="0" w:firstLineChars="0"/>
              <w:rPr>
                <w:sz w:val="21"/>
                <w:szCs w:val="21"/>
              </w:rPr>
            </w:pPr>
            <w:r>
              <w:rPr>
                <w:rFonts w:hint="eastAsia"/>
                <w:sz w:val="21"/>
                <w:szCs w:val="21"/>
              </w:rPr>
              <w:t>防护等级：不低于IP65</w:t>
            </w:r>
          </w:p>
        </w:tc>
        <w:tc>
          <w:tcPr>
            <w:tcW w:w="731" w:type="pct"/>
            <w:vAlign w:val="center"/>
          </w:tcPr>
          <w:p>
            <w:pPr>
              <w:spacing w:after="156" w:line="240" w:lineRule="auto"/>
              <w:ind w:firstLine="0" w:firstLineChars="0"/>
              <w:jc w:val="center"/>
              <w:rPr>
                <w:sz w:val="21"/>
                <w:szCs w:val="21"/>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6" w:hRule="atLeast"/>
        </w:trPr>
        <w:tc>
          <w:tcPr>
            <w:tcW w:w="494" w:type="pct"/>
            <w:vMerge w:val="continue"/>
            <w:vAlign w:val="center"/>
          </w:tcPr>
          <w:p>
            <w:pPr>
              <w:spacing w:after="156" w:line="240" w:lineRule="auto"/>
              <w:ind w:firstLine="0" w:firstLineChars="0"/>
              <w:rPr>
                <w:sz w:val="21"/>
                <w:szCs w:val="21"/>
              </w:rPr>
            </w:pPr>
          </w:p>
        </w:tc>
        <w:tc>
          <w:tcPr>
            <w:tcW w:w="330" w:type="pct"/>
            <w:vMerge w:val="continue"/>
            <w:vAlign w:val="center"/>
          </w:tcPr>
          <w:p>
            <w:pPr>
              <w:spacing w:after="156" w:line="240" w:lineRule="auto"/>
              <w:ind w:firstLine="0" w:firstLineChars="0"/>
              <w:rPr>
                <w:sz w:val="21"/>
                <w:szCs w:val="21"/>
              </w:rPr>
            </w:pPr>
          </w:p>
        </w:tc>
        <w:tc>
          <w:tcPr>
            <w:tcW w:w="455" w:type="pct"/>
            <w:vAlign w:val="center"/>
          </w:tcPr>
          <w:p>
            <w:pPr>
              <w:spacing w:after="156" w:line="240" w:lineRule="auto"/>
              <w:ind w:firstLine="0" w:firstLineChars="0"/>
              <w:rPr>
                <w:sz w:val="21"/>
                <w:szCs w:val="21"/>
              </w:rPr>
            </w:pPr>
            <w:r>
              <w:rPr>
                <w:rFonts w:hint="eastAsia"/>
                <w:sz w:val="21"/>
                <w:szCs w:val="21"/>
              </w:rPr>
              <w:t>氨氮</w:t>
            </w:r>
          </w:p>
        </w:tc>
        <w:tc>
          <w:tcPr>
            <w:tcW w:w="2990" w:type="pct"/>
            <w:vAlign w:val="center"/>
          </w:tcPr>
          <w:p>
            <w:pPr>
              <w:spacing w:after="156" w:line="240" w:lineRule="auto"/>
              <w:ind w:firstLine="0" w:firstLineChars="0"/>
              <w:rPr>
                <w:sz w:val="21"/>
                <w:szCs w:val="21"/>
              </w:rPr>
            </w:pPr>
            <w:r>
              <w:rPr>
                <w:rFonts w:hint="eastAsia"/>
                <w:sz w:val="21"/>
                <w:szCs w:val="21"/>
              </w:rPr>
              <w:t>测量范围：（0～100）mg/L</w:t>
            </w:r>
          </w:p>
          <w:p>
            <w:pPr>
              <w:spacing w:after="156" w:line="240" w:lineRule="auto"/>
              <w:ind w:firstLine="0" w:firstLineChars="0"/>
              <w:rPr>
                <w:sz w:val="21"/>
                <w:szCs w:val="21"/>
              </w:rPr>
            </w:pPr>
            <w:r>
              <w:rPr>
                <w:rFonts w:hint="eastAsia"/>
                <w:sz w:val="21"/>
                <w:szCs w:val="21"/>
              </w:rPr>
              <w:t>测量精度：±3%FS</w:t>
            </w:r>
          </w:p>
          <w:p>
            <w:pPr>
              <w:spacing w:after="156" w:line="240" w:lineRule="auto"/>
              <w:ind w:firstLine="0" w:firstLineChars="0"/>
              <w:rPr>
                <w:sz w:val="21"/>
                <w:szCs w:val="21"/>
              </w:rPr>
            </w:pPr>
            <w:r>
              <w:rPr>
                <w:rFonts w:hint="eastAsia"/>
                <w:sz w:val="21"/>
                <w:szCs w:val="21"/>
              </w:rPr>
              <w:t>环境温度：（5～40）℃</w:t>
            </w:r>
          </w:p>
          <w:p>
            <w:pPr>
              <w:spacing w:after="156" w:line="240" w:lineRule="auto"/>
              <w:ind w:firstLine="0" w:firstLineChars="0"/>
              <w:rPr>
                <w:sz w:val="21"/>
                <w:szCs w:val="21"/>
              </w:rPr>
            </w:pPr>
            <w:r>
              <w:rPr>
                <w:rFonts w:hint="eastAsia"/>
                <w:sz w:val="21"/>
                <w:szCs w:val="21"/>
              </w:rPr>
              <w:t>使用寿命：不少于5年</w:t>
            </w:r>
          </w:p>
          <w:p>
            <w:pPr>
              <w:spacing w:after="156" w:line="240" w:lineRule="auto"/>
              <w:ind w:firstLine="0" w:firstLineChars="0"/>
              <w:rPr>
                <w:sz w:val="21"/>
                <w:szCs w:val="21"/>
              </w:rPr>
            </w:pPr>
            <w:r>
              <w:rPr>
                <w:rFonts w:hint="eastAsia"/>
                <w:sz w:val="21"/>
                <w:szCs w:val="21"/>
              </w:rPr>
              <w:t>防护等级：不低于IP65</w:t>
            </w:r>
          </w:p>
        </w:tc>
        <w:tc>
          <w:tcPr>
            <w:tcW w:w="731" w:type="pct"/>
            <w:vAlign w:val="center"/>
          </w:tcPr>
          <w:p>
            <w:pPr>
              <w:spacing w:after="156" w:line="240" w:lineRule="auto"/>
              <w:ind w:firstLine="0" w:firstLineChars="0"/>
              <w:jc w:val="center"/>
              <w:rPr>
                <w:sz w:val="21"/>
                <w:szCs w:val="21"/>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6" w:hRule="atLeast"/>
        </w:trPr>
        <w:tc>
          <w:tcPr>
            <w:tcW w:w="494" w:type="pct"/>
            <w:vMerge w:val="continue"/>
            <w:vAlign w:val="center"/>
          </w:tcPr>
          <w:p>
            <w:pPr>
              <w:spacing w:after="156" w:line="240" w:lineRule="auto"/>
              <w:ind w:firstLine="0" w:firstLineChars="0"/>
              <w:rPr>
                <w:sz w:val="21"/>
                <w:szCs w:val="21"/>
              </w:rPr>
            </w:pPr>
          </w:p>
        </w:tc>
        <w:tc>
          <w:tcPr>
            <w:tcW w:w="330" w:type="pct"/>
            <w:vMerge w:val="continue"/>
            <w:vAlign w:val="center"/>
          </w:tcPr>
          <w:p>
            <w:pPr>
              <w:spacing w:after="156" w:line="240" w:lineRule="auto"/>
              <w:ind w:firstLine="0" w:firstLineChars="0"/>
              <w:rPr>
                <w:sz w:val="21"/>
                <w:szCs w:val="21"/>
              </w:rPr>
            </w:pPr>
          </w:p>
        </w:tc>
        <w:tc>
          <w:tcPr>
            <w:tcW w:w="455" w:type="pct"/>
            <w:vAlign w:val="center"/>
          </w:tcPr>
          <w:p>
            <w:pPr>
              <w:spacing w:after="156" w:line="240" w:lineRule="auto"/>
              <w:ind w:firstLine="0" w:firstLineChars="0"/>
              <w:rPr>
                <w:sz w:val="21"/>
                <w:szCs w:val="21"/>
              </w:rPr>
            </w:pPr>
            <w:r>
              <w:rPr>
                <w:rFonts w:hint="eastAsia"/>
                <w:sz w:val="21"/>
                <w:szCs w:val="21"/>
              </w:rPr>
              <w:t>CODcr</w:t>
            </w:r>
          </w:p>
        </w:tc>
        <w:tc>
          <w:tcPr>
            <w:tcW w:w="2990" w:type="pct"/>
            <w:vAlign w:val="center"/>
          </w:tcPr>
          <w:p>
            <w:pPr>
              <w:spacing w:after="156" w:line="240" w:lineRule="auto"/>
              <w:ind w:firstLine="0" w:firstLineChars="0"/>
              <w:rPr>
                <w:sz w:val="21"/>
                <w:szCs w:val="21"/>
              </w:rPr>
            </w:pPr>
            <w:r>
              <w:rPr>
                <w:rFonts w:hint="eastAsia"/>
                <w:sz w:val="21"/>
                <w:szCs w:val="21"/>
              </w:rPr>
              <w:t xml:space="preserve">测量量程: 0-1000 mg/L </w:t>
            </w:r>
          </w:p>
          <w:p>
            <w:pPr>
              <w:spacing w:after="156" w:line="240" w:lineRule="auto"/>
              <w:ind w:firstLine="0" w:firstLineChars="0"/>
              <w:rPr>
                <w:sz w:val="21"/>
                <w:szCs w:val="21"/>
              </w:rPr>
            </w:pPr>
            <w:r>
              <w:rPr>
                <w:rFonts w:hint="eastAsia"/>
                <w:sz w:val="21"/>
                <w:szCs w:val="21"/>
              </w:rPr>
              <w:t>示值误差:≤±5%</w:t>
            </w:r>
          </w:p>
          <w:p>
            <w:pPr>
              <w:spacing w:after="156" w:line="240" w:lineRule="auto"/>
              <w:ind w:firstLine="0" w:firstLineChars="0"/>
              <w:rPr>
                <w:sz w:val="21"/>
                <w:szCs w:val="21"/>
              </w:rPr>
            </w:pPr>
            <w:r>
              <w:rPr>
                <w:rFonts w:hint="eastAsia"/>
                <w:sz w:val="21"/>
                <w:szCs w:val="21"/>
              </w:rPr>
              <w:t>检 出 限:≤15mg/L</w:t>
            </w:r>
          </w:p>
          <w:p>
            <w:pPr>
              <w:spacing w:after="156" w:line="240" w:lineRule="auto"/>
              <w:ind w:firstLine="0" w:firstLineChars="0"/>
              <w:rPr>
                <w:sz w:val="21"/>
                <w:szCs w:val="21"/>
              </w:rPr>
            </w:pPr>
            <w:r>
              <w:rPr>
                <w:rFonts w:hint="eastAsia"/>
                <w:sz w:val="21"/>
                <w:szCs w:val="21"/>
              </w:rPr>
              <w:t>零点漂移:±2mg/L</w:t>
            </w:r>
          </w:p>
          <w:p>
            <w:pPr>
              <w:spacing w:after="156" w:line="240" w:lineRule="auto"/>
              <w:ind w:firstLine="0" w:firstLineChars="0"/>
              <w:rPr>
                <w:sz w:val="21"/>
                <w:szCs w:val="21"/>
              </w:rPr>
            </w:pPr>
            <w:r>
              <w:rPr>
                <w:rFonts w:hint="eastAsia"/>
                <w:sz w:val="21"/>
                <w:szCs w:val="21"/>
              </w:rPr>
              <w:t>量程漂移:±5%F.S.</w:t>
            </w:r>
          </w:p>
          <w:p>
            <w:pPr>
              <w:spacing w:after="156" w:line="240" w:lineRule="auto"/>
              <w:ind w:firstLine="0" w:firstLineChars="0"/>
              <w:rPr>
                <w:sz w:val="21"/>
                <w:szCs w:val="21"/>
              </w:rPr>
            </w:pPr>
            <w:r>
              <w:rPr>
                <w:rFonts w:hint="eastAsia"/>
                <w:sz w:val="21"/>
                <w:szCs w:val="21"/>
              </w:rPr>
              <w:t>重 复 性:≤±5%</w:t>
            </w:r>
          </w:p>
          <w:p>
            <w:pPr>
              <w:spacing w:after="156" w:line="240" w:lineRule="auto"/>
              <w:ind w:firstLine="0" w:firstLineChars="0"/>
              <w:rPr>
                <w:sz w:val="21"/>
                <w:szCs w:val="21"/>
              </w:rPr>
            </w:pPr>
            <w:r>
              <w:rPr>
                <w:rFonts w:hint="eastAsia"/>
                <w:sz w:val="21"/>
                <w:szCs w:val="21"/>
              </w:rPr>
              <w:t>水样用量:5mL/次</w:t>
            </w:r>
          </w:p>
          <w:p>
            <w:pPr>
              <w:spacing w:after="156" w:line="240" w:lineRule="auto"/>
              <w:ind w:firstLine="0" w:firstLineChars="0"/>
              <w:rPr>
                <w:sz w:val="21"/>
                <w:szCs w:val="21"/>
              </w:rPr>
            </w:pPr>
            <w:r>
              <w:rPr>
                <w:rFonts w:hint="eastAsia"/>
                <w:sz w:val="21"/>
                <w:szCs w:val="21"/>
              </w:rPr>
              <w:t>废 液 量:5mL/次</w:t>
            </w:r>
          </w:p>
          <w:p>
            <w:pPr>
              <w:spacing w:after="156" w:line="240" w:lineRule="auto"/>
              <w:ind w:firstLine="0" w:firstLineChars="0"/>
              <w:rPr>
                <w:sz w:val="21"/>
                <w:szCs w:val="21"/>
              </w:rPr>
            </w:pPr>
            <w:r>
              <w:rPr>
                <w:rFonts w:hint="eastAsia"/>
                <w:sz w:val="21"/>
                <w:szCs w:val="21"/>
              </w:rPr>
              <w:t>记忆效应:≤±5mg/L</w:t>
            </w:r>
          </w:p>
          <w:p>
            <w:pPr>
              <w:spacing w:after="156" w:line="240" w:lineRule="auto"/>
              <w:ind w:firstLine="0" w:firstLineChars="0"/>
              <w:rPr>
                <w:sz w:val="21"/>
                <w:szCs w:val="21"/>
              </w:rPr>
            </w:pPr>
            <w:r>
              <w:rPr>
                <w:rFonts w:hint="eastAsia"/>
                <w:sz w:val="21"/>
                <w:szCs w:val="21"/>
              </w:rPr>
              <w:t>一 致 性:≥90%</w:t>
            </w:r>
          </w:p>
          <w:p>
            <w:pPr>
              <w:spacing w:after="156" w:line="240" w:lineRule="auto"/>
              <w:ind w:firstLine="0" w:firstLineChars="0"/>
              <w:rPr>
                <w:sz w:val="21"/>
                <w:szCs w:val="21"/>
              </w:rPr>
            </w:pPr>
            <w:r>
              <w:rPr>
                <w:rFonts w:hint="eastAsia"/>
                <w:sz w:val="21"/>
                <w:szCs w:val="21"/>
              </w:rPr>
              <w:t>实际水样比对:CODcr&lt;50mg/L≤5mg/L   CODcr≥50mg/L≤10.0%</w:t>
            </w:r>
          </w:p>
          <w:p>
            <w:pPr>
              <w:spacing w:after="156" w:line="240" w:lineRule="auto"/>
              <w:ind w:firstLine="0" w:firstLineChars="0"/>
              <w:rPr>
                <w:sz w:val="21"/>
                <w:szCs w:val="21"/>
              </w:rPr>
            </w:pPr>
            <w:r>
              <w:rPr>
                <w:rFonts w:hint="eastAsia"/>
                <w:sz w:val="21"/>
                <w:szCs w:val="21"/>
              </w:rPr>
              <w:t>显色温度:推荐温度为165 ℃</w:t>
            </w:r>
            <w:r>
              <w:rPr>
                <w:sz w:val="21"/>
                <w:szCs w:val="21"/>
              </w:rPr>
              <w:t xml:space="preserve"> </w:t>
            </w:r>
          </w:p>
          <w:p>
            <w:pPr>
              <w:spacing w:after="156" w:line="240" w:lineRule="auto"/>
              <w:ind w:firstLine="0" w:firstLineChars="0"/>
              <w:rPr>
                <w:sz w:val="21"/>
                <w:szCs w:val="21"/>
              </w:rPr>
            </w:pPr>
            <w:r>
              <w:rPr>
                <w:rFonts w:hint="eastAsia"/>
                <w:sz w:val="21"/>
                <w:szCs w:val="21"/>
              </w:rPr>
              <w:t>恒温时间:900秒</w:t>
            </w:r>
          </w:p>
          <w:p>
            <w:pPr>
              <w:spacing w:after="156" w:line="240" w:lineRule="auto"/>
              <w:ind w:firstLine="0" w:firstLineChars="0"/>
              <w:rPr>
                <w:sz w:val="21"/>
                <w:szCs w:val="21"/>
              </w:rPr>
            </w:pPr>
            <w:r>
              <w:rPr>
                <w:rFonts w:hint="eastAsia"/>
                <w:sz w:val="21"/>
                <w:szCs w:val="21"/>
              </w:rPr>
              <w:t>测量周期:37分钟</w:t>
            </w:r>
          </w:p>
          <w:p>
            <w:pPr>
              <w:spacing w:after="156" w:line="240" w:lineRule="auto"/>
              <w:ind w:firstLine="0" w:firstLineChars="0"/>
              <w:rPr>
                <w:sz w:val="21"/>
                <w:szCs w:val="21"/>
              </w:rPr>
            </w:pPr>
            <w:r>
              <w:rPr>
                <w:rFonts w:hint="eastAsia"/>
                <w:sz w:val="21"/>
                <w:szCs w:val="21"/>
              </w:rPr>
              <w:t>采样周期:1-24h</w:t>
            </w:r>
            <w:r>
              <w:rPr>
                <w:rFonts w:hint="eastAsia"/>
                <w:sz w:val="21"/>
                <w:szCs w:val="21"/>
              </w:rPr>
              <w:tab/>
            </w:r>
          </w:p>
        </w:tc>
        <w:tc>
          <w:tcPr>
            <w:tcW w:w="731" w:type="pct"/>
            <w:vAlign w:val="center"/>
          </w:tcPr>
          <w:p>
            <w:pPr>
              <w:spacing w:after="156" w:line="240" w:lineRule="auto"/>
              <w:ind w:firstLine="0" w:firstLineChars="0"/>
              <w:jc w:val="center"/>
              <w:rPr>
                <w:sz w:val="21"/>
                <w:szCs w:val="21"/>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trPr>
        <w:tc>
          <w:tcPr>
            <w:tcW w:w="494" w:type="pct"/>
            <w:vMerge w:val="continue"/>
            <w:vAlign w:val="center"/>
          </w:tcPr>
          <w:p>
            <w:pPr>
              <w:spacing w:after="156" w:line="240" w:lineRule="auto"/>
              <w:ind w:firstLine="0" w:firstLineChars="0"/>
              <w:rPr>
                <w:sz w:val="21"/>
                <w:szCs w:val="21"/>
              </w:rPr>
            </w:pPr>
          </w:p>
        </w:tc>
        <w:tc>
          <w:tcPr>
            <w:tcW w:w="330" w:type="pct"/>
            <w:vMerge w:val="continue"/>
            <w:vAlign w:val="center"/>
          </w:tcPr>
          <w:p>
            <w:pPr>
              <w:spacing w:after="156" w:line="240" w:lineRule="auto"/>
              <w:ind w:firstLine="0" w:firstLineChars="0"/>
              <w:rPr>
                <w:sz w:val="21"/>
                <w:szCs w:val="21"/>
              </w:rPr>
            </w:pPr>
          </w:p>
        </w:tc>
        <w:tc>
          <w:tcPr>
            <w:tcW w:w="455" w:type="pct"/>
            <w:vAlign w:val="center"/>
          </w:tcPr>
          <w:p>
            <w:pPr>
              <w:spacing w:after="156" w:line="240" w:lineRule="auto"/>
              <w:ind w:firstLine="0" w:firstLineChars="0"/>
              <w:rPr>
                <w:sz w:val="21"/>
                <w:szCs w:val="21"/>
              </w:rPr>
            </w:pPr>
            <w:r>
              <w:rPr>
                <w:rFonts w:hint="eastAsia"/>
                <w:sz w:val="21"/>
                <w:szCs w:val="21"/>
              </w:rPr>
              <w:t>总磷</w:t>
            </w:r>
          </w:p>
        </w:tc>
        <w:tc>
          <w:tcPr>
            <w:tcW w:w="2990" w:type="pct"/>
            <w:vAlign w:val="center"/>
          </w:tcPr>
          <w:p>
            <w:pPr>
              <w:spacing w:after="156" w:line="240" w:lineRule="auto"/>
              <w:ind w:firstLine="0" w:firstLineChars="0"/>
              <w:rPr>
                <w:sz w:val="21"/>
                <w:szCs w:val="21"/>
              </w:rPr>
            </w:pPr>
            <w:r>
              <w:rPr>
                <w:rFonts w:hint="eastAsia"/>
                <w:sz w:val="21"/>
                <w:szCs w:val="21"/>
              </w:rPr>
              <w:t>测量范围：（0～10）mg/L</w:t>
            </w:r>
          </w:p>
          <w:p>
            <w:pPr>
              <w:spacing w:after="156" w:line="240" w:lineRule="auto"/>
              <w:ind w:firstLine="0" w:firstLineChars="0"/>
              <w:rPr>
                <w:sz w:val="21"/>
                <w:szCs w:val="21"/>
              </w:rPr>
            </w:pPr>
            <w:r>
              <w:rPr>
                <w:rFonts w:hint="eastAsia"/>
                <w:sz w:val="21"/>
                <w:szCs w:val="21"/>
              </w:rPr>
              <w:t>准确度：±5%</w:t>
            </w:r>
          </w:p>
          <w:p>
            <w:pPr>
              <w:spacing w:after="156" w:line="240" w:lineRule="auto"/>
              <w:ind w:firstLine="0" w:firstLineChars="0"/>
              <w:rPr>
                <w:sz w:val="21"/>
                <w:szCs w:val="21"/>
              </w:rPr>
            </w:pPr>
            <w:r>
              <w:rPr>
                <w:rFonts w:hint="eastAsia"/>
                <w:sz w:val="21"/>
                <w:szCs w:val="21"/>
              </w:rPr>
              <w:t>测量周期：最小测量周期40min</w:t>
            </w:r>
          </w:p>
          <w:p>
            <w:pPr>
              <w:spacing w:after="156" w:line="240" w:lineRule="auto"/>
              <w:ind w:firstLine="0" w:firstLineChars="0"/>
              <w:rPr>
                <w:sz w:val="21"/>
                <w:szCs w:val="21"/>
              </w:rPr>
            </w:pPr>
            <w:r>
              <w:rPr>
                <w:rFonts w:hint="eastAsia"/>
                <w:sz w:val="21"/>
                <w:szCs w:val="21"/>
              </w:rPr>
              <w:t>最低检出限：不大于0.01mg/L</w:t>
            </w:r>
          </w:p>
        </w:tc>
        <w:tc>
          <w:tcPr>
            <w:tcW w:w="731" w:type="pct"/>
            <w:vAlign w:val="center"/>
          </w:tcPr>
          <w:p>
            <w:pPr>
              <w:spacing w:after="156" w:line="240" w:lineRule="auto"/>
              <w:ind w:firstLine="0" w:firstLineChars="0"/>
              <w:jc w:val="center"/>
              <w:rPr>
                <w:sz w:val="21"/>
                <w:szCs w:val="21"/>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0" w:hRule="atLeast"/>
        </w:trPr>
        <w:tc>
          <w:tcPr>
            <w:tcW w:w="494" w:type="pct"/>
            <w:vMerge w:val="continue"/>
            <w:vAlign w:val="center"/>
          </w:tcPr>
          <w:p>
            <w:pPr>
              <w:spacing w:after="156" w:line="240" w:lineRule="auto"/>
              <w:ind w:firstLine="0" w:firstLineChars="0"/>
              <w:rPr>
                <w:sz w:val="21"/>
                <w:szCs w:val="21"/>
              </w:rPr>
            </w:pPr>
          </w:p>
        </w:tc>
        <w:tc>
          <w:tcPr>
            <w:tcW w:w="785" w:type="pct"/>
            <w:gridSpan w:val="2"/>
            <w:vAlign w:val="center"/>
          </w:tcPr>
          <w:p>
            <w:pPr>
              <w:spacing w:after="156" w:line="240" w:lineRule="auto"/>
              <w:ind w:firstLine="0" w:firstLineChars="0"/>
              <w:rPr>
                <w:sz w:val="21"/>
                <w:szCs w:val="21"/>
              </w:rPr>
            </w:pPr>
            <w:r>
              <w:rPr>
                <w:rFonts w:hint="eastAsia"/>
                <w:sz w:val="21"/>
                <w:szCs w:val="21"/>
              </w:rPr>
              <w:t>可燃气体浓度</w:t>
            </w:r>
          </w:p>
        </w:tc>
        <w:tc>
          <w:tcPr>
            <w:tcW w:w="2990" w:type="pct"/>
            <w:vAlign w:val="center"/>
          </w:tcPr>
          <w:p>
            <w:pPr>
              <w:spacing w:after="156" w:line="240" w:lineRule="auto"/>
              <w:ind w:firstLine="0" w:firstLineChars="0"/>
              <w:jc w:val="left"/>
              <w:rPr>
                <w:sz w:val="21"/>
                <w:szCs w:val="21"/>
                <w:lang w:eastAsia="en-US"/>
              </w:rPr>
            </w:pPr>
            <w:r>
              <w:rPr>
                <w:rFonts w:hint="eastAsia"/>
                <w:sz w:val="21"/>
                <w:szCs w:val="21"/>
                <w:lang w:eastAsia="en-US"/>
              </w:rPr>
              <w:t>量程：（0～20%）VOL</w:t>
            </w:r>
          </w:p>
          <w:p>
            <w:pPr>
              <w:spacing w:after="156" w:line="240" w:lineRule="auto"/>
              <w:ind w:firstLine="0" w:firstLineChars="0"/>
              <w:jc w:val="left"/>
              <w:rPr>
                <w:sz w:val="21"/>
                <w:szCs w:val="21"/>
                <w:lang w:eastAsia="en-US"/>
              </w:rPr>
            </w:pPr>
            <w:r>
              <w:rPr>
                <w:rFonts w:hint="eastAsia"/>
                <w:sz w:val="21"/>
                <w:szCs w:val="21"/>
                <w:lang w:eastAsia="en-US"/>
              </w:rPr>
              <w:t>精度：±0.1%VOL</w:t>
            </w:r>
          </w:p>
          <w:p>
            <w:pPr>
              <w:spacing w:after="156" w:line="240" w:lineRule="auto"/>
              <w:ind w:firstLine="0" w:firstLineChars="0"/>
              <w:jc w:val="left"/>
              <w:rPr>
                <w:sz w:val="21"/>
                <w:szCs w:val="21"/>
              </w:rPr>
            </w:pPr>
            <w:r>
              <w:rPr>
                <w:rFonts w:hint="eastAsia"/>
                <w:sz w:val="21"/>
                <w:szCs w:val="21"/>
              </w:rPr>
              <w:t>示值误差：≤2.5%FS</w:t>
            </w:r>
          </w:p>
          <w:p>
            <w:pPr>
              <w:spacing w:after="156" w:line="240" w:lineRule="auto"/>
              <w:ind w:firstLine="0" w:firstLineChars="0"/>
              <w:jc w:val="left"/>
              <w:rPr>
                <w:sz w:val="21"/>
                <w:szCs w:val="21"/>
              </w:rPr>
            </w:pPr>
            <w:r>
              <w:rPr>
                <w:rFonts w:hint="eastAsia"/>
                <w:sz w:val="21"/>
                <w:szCs w:val="21"/>
              </w:rPr>
              <w:t>使用寿命：不少于5年</w:t>
            </w:r>
          </w:p>
          <w:p>
            <w:pPr>
              <w:spacing w:after="156" w:line="240" w:lineRule="auto"/>
              <w:ind w:firstLine="0" w:firstLineChars="0"/>
              <w:jc w:val="left"/>
              <w:rPr>
                <w:sz w:val="21"/>
                <w:szCs w:val="21"/>
              </w:rPr>
            </w:pPr>
            <w:r>
              <w:rPr>
                <w:rFonts w:hint="eastAsia"/>
                <w:sz w:val="21"/>
                <w:szCs w:val="21"/>
              </w:rPr>
              <w:t>工作温度：（-10～60）℃</w:t>
            </w:r>
          </w:p>
          <w:p>
            <w:pPr>
              <w:spacing w:after="156" w:line="240" w:lineRule="auto"/>
              <w:ind w:firstLine="0" w:firstLineChars="0"/>
              <w:jc w:val="left"/>
              <w:rPr>
                <w:sz w:val="21"/>
                <w:szCs w:val="21"/>
              </w:rPr>
            </w:pPr>
            <w:r>
              <w:rPr>
                <w:rFonts w:hint="eastAsia"/>
                <w:sz w:val="21"/>
                <w:szCs w:val="21"/>
              </w:rPr>
              <w:t>防爆等级：ExibIIBT4Gb</w:t>
            </w:r>
          </w:p>
          <w:p>
            <w:pPr>
              <w:spacing w:after="156" w:line="240" w:lineRule="auto"/>
              <w:ind w:firstLine="0" w:firstLineChars="0"/>
              <w:jc w:val="left"/>
              <w:rPr>
                <w:sz w:val="21"/>
                <w:szCs w:val="21"/>
              </w:rPr>
            </w:pPr>
            <w:r>
              <w:rPr>
                <w:rFonts w:hint="eastAsia"/>
                <w:sz w:val="21"/>
                <w:szCs w:val="21"/>
              </w:rPr>
              <w:t>防护等级：IP68</w:t>
            </w:r>
          </w:p>
          <w:p>
            <w:pPr>
              <w:spacing w:after="156" w:line="240" w:lineRule="auto"/>
              <w:ind w:firstLine="0" w:firstLineChars="0"/>
              <w:jc w:val="left"/>
              <w:rPr>
                <w:sz w:val="21"/>
                <w:szCs w:val="21"/>
              </w:rPr>
            </w:pPr>
            <w:r>
              <w:rPr>
                <w:rFonts w:hint="eastAsia"/>
                <w:sz w:val="21"/>
                <w:szCs w:val="21"/>
              </w:rPr>
              <w:t>通过交变湿热环境试验，湿度不低于95%RH</w:t>
            </w:r>
          </w:p>
          <w:p>
            <w:pPr>
              <w:spacing w:after="156" w:line="240" w:lineRule="auto"/>
              <w:ind w:firstLine="0" w:firstLineChars="0"/>
              <w:jc w:val="left"/>
              <w:rPr>
                <w:sz w:val="21"/>
                <w:szCs w:val="21"/>
              </w:rPr>
            </w:pPr>
            <w:r>
              <w:rPr>
                <w:rFonts w:hint="eastAsia"/>
                <w:sz w:val="21"/>
                <w:szCs w:val="21"/>
              </w:rPr>
              <w:t>通过恒定湿热环境试验，温度</w:t>
            </w:r>
            <w:r>
              <w:rPr>
                <w:rFonts w:hint="eastAsia"/>
                <w:spacing w:val="-5"/>
                <w:sz w:val="21"/>
                <w:szCs w:val="21"/>
              </w:rPr>
              <w:t>（40±2）℃</w:t>
            </w:r>
            <w:r>
              <w:rPr>
                <w:rFonts w:hint="eastAsia"/>
                <w:spacing w:val="-3"/>
                <w:sz w:val="21"/>
                <w:szCs w:val="21"/>
              </w:rPr>
              <w:t>，湿</w:t>
            </w:r>
          </w:p>
          <w:p>
            <w:pPr>
              <w:spacing w:after="156" w:line="240" w:lineRule="auto"/>
              <w:ind w:firstLine="0" w:firstLineChars="0"/>
              <w:jc w:val="left"/>
              <w:rPr>
                <w:sz w:val="21"/>
                <w:szCs w:val="21"/>
                <w:lang w:eastAsia="en-US"/>
              </w:rPr>
            </w:pPr>
            <w:r>
              <w:rPr>
                <w:rFonts w:hint="eastAsia"/>
                <w:sz w:val="21"/>
                <w:szCs w:val="21"/>
                <w:lang w:eastAsia="en-US"/>
              </w:rPr>
              <w:t>度（93±3）%RH</w:t>
            </w:r>
          </w:p>
        </w:tc>
        <w:tc>
          <w:tcPr>
            <w:tcW w:w="731" w:type="pct"/>
            <w:vAlign w:val="center"/>
          </w:tcPr>
          <w:p>
            <w:pPr>
              <w:spacing w:after="156" w:line="240" w:lineRule="auto"/>
              <w:ind w:firstLine="0" w:firstLineChars="0"/>
              <w:jc w:val="center"/>
              <w:rPr>
                <w:sz w:val="21"/>
                <w:szCs w:val="21"/>
                <w:lang w:eastAsia="en-US"/>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trPr>
        <w:tc>
          <w:tcPr>
            <w:tcW w:w="494" w:type="pct"/>
            <w:vMerge w:val="continue"/>
            <w:vAlign w:val="center"/>
          </w:tcPr>
          <w:p>
            <w:pPr>
              <w:spacing w:after="156" w:line="240" w:lineRule="auto"/>
              <w:ind w:firstLine="0" w:firstLineChars="0"/>
              <w:rPr>
                <w:sz w:val="21"/>
                <w:szCs w:val="21"/>
              </w:rPr>
            </w:pPr>
          </w:p>
        </w:tc>
        <w:tc>
          <w:tcPr>
            <w:tcW w:w="785" w:type="pct"/>
            <w:gridSpan w:val="2"/>
            <w:vAlign w:val="center"/>
          </w:tcPr>
          <w:p>
            <w:pPr>
              <w:spacing w:after="156" w:line="240" w:lineRule="auto"/>
              <w:ind w:firstLine="0" w:firstLineChars="0"/>
              <w:rPr>
                <w:sz w:val="21"/>
                <w:szCs w:val="21"/>
              </w:rPr>
            </w:pPr>
            <w:r>
              <w:rPr>
                <w:rFonts w:hint="eastAsia"/>
                <w:sz w:val="21"/>
                <w:szCs w:val="21"/>
              </w:rPr>
              <w:t>井盖位移</w:t>
            </w:r>
          </w:p>
        </w:tc>
        <w:tc>
          <w:tcPr>
            <w:tcW w:w="2990" w:type="pct"/>
            <w:vAlign w:val="center"/>
          </w:tcPr>
          <w:p>
            <w:pPr>
              <w:spacing w:after="156" w:line="240" w:lineRule="auto"/>
              <w:ind w:firstLine="0" w:firstLineChars="0"/>
              <w:jc w:val="left"/>
              <w:rPr>
                <w:sz w:val="21"/>
                <w:szCs w:val="21"/>
              </w:rPr>
            </w:pPr>
            <w:r>
              <w:rPr>
                <w:rFonts w:hint="eastAsia"/>
                <w:sz w:val="21"/>
                <w:szCs w:val="21"/>
              </w:rPr>
              <w:t>电池寿命：大于3年，并可更换工作温度：（-20～80）℃</w:t>
            </w:r>
          </w:p>
          <w:p>
            <w:pPr>
              <w:spacing w:after="156" w:line="240" w:lineRule="auto"/>
              <w:ind w:firstLine="0" w:firstLineChars="0"/>
              <w:jc w:val="left"/>
              <w:rPr>
                <w:sz w:val="21"/>
                <w:szCs w:val="21"/>
              </w:rPr>
            </w:pPr>
            <w:r>
              <w:rPr>
                <w:rFonts w:hint="eastAsia"/>
                <w:sz w:val="21"/>
                <w:szCs w:val="21"/>
              </w:rPr>
              <w:t>环境适用性：应具有防水、防尘、防腐等抗恶劣环境性能</w:t>
            </w:r>
          </w:p>
        </w:tc>
        <w:tc>
          <w:tcPr>
            <w:tcW w:w="731" w:type="pct"/>
            <w:vAlign w:val="center"/>
          </w:tcPr>
          <w:p>
            <w:pPr>
              <w:spacing w:after="156" w:line="240" w:lineRule="auto"/>
              <w:ind w:firstLine="0" w:firstLineChars="0"/>
              <w:jc w:val="center"/>
              <w:rPr>
                <w:sz w:val="21"/>
                <w:szCs w:val="21"/>
              </w:rPr>
            </w:pPr>
            <w:r>
              <w:rPr>
                <w:rFonts w:hint="eastAsia"/>
                <w:sz w:val="24"/>
              </w:rPr>
              <w:t>○</w:t>
            </w:r>
          </w:p>
        </w:tc>
      </w:tr>
      <w:bookmarkEnd w:id="70"/>
    </w:tbl>
    <w:p>
      <w:pPr>
        <w:spacing w:after="156"/>
        <w:ind w:firstLine="0" w:firstLineChars="0"/>
        <w:jc w:val="center"/>
        <w:rPr>
          <w:sz w:val="24"/>
        </w:rPr>
      </w:pPr>
      <w:bookmarkStart w:id="71" w:name="_Hlk163820562"/>
      <w:r>
        <w:rPr>
          <w:rFonts w:hint="eastAsia"/>
          <w:sz w:val="24"/>
        </w:rPr>
        <w:t>备注：★应监测指标▲宜监测指标○可监测指标</w:t>
      </w:r>
    </w:p>
    <w:p>
      <w:pPr>
        <w:spacing w:after="156"/>
      </w:pPr>
      <w:r>
        <w:rPr>
          <w:rFonts w:hint="eastAsia"/>
        </w:rPr>
        <w:t>污水管网的监测传感装置应根据污水管网风险评估结果确定，较大风险及以上的必须安装监测设备。优先选择以下点位进行布点：</w:t>
      </w:r>
    </w:p>
    <w:p>
      <w:pPr>
        <w:spacing w:after="156"/>
      </w:pPr>
      <w:r>
        <w:rPr>
          <w:rFonts w:hint="eastAsia"/>
        </w:rPr>
        <w:t>（1）河流水系沿岸排口，包括合流制溢流排口、雨水排水和没有封堵的污水直排口；</w:t>
      </w:r>
    </w:p>
    <w:p>
      <w:pPr>
        <w:spacing w:after="156"/>
      </w:pPr>
      <w:r>
        <w:rPr>
          <w:rFonts w:hint="eastAsia"/>
        </w:rPr>
        <w:t>（2）污水提升泵站、污水厂的进水管；</w:t>
      </w:r>
    </w:p>
    <w:p>
      <w:pPr>
        <w:spacing w:after="156"/>
      </w:pPr>
      <w:r>
        <w:rPr>
          <w:rFonts w:hint="eastAsia"/>
        </w:rPr>
        <w:t>（3）排口数量清晰、排水量大、存在超标超限排放风险的排水户接入市政管网的接户井；</w:t>
      </w:r>
    </w:p>
    <w:p>
      <w:pPr>
        <w:spacing w:after="156"/>
      </w:pPr>
      <w:r>
        <w:rPr>
          <w:rFonts w:hint="eastAsia"/>
        </w:rPr>
        <w:t>（4）溢流风险较高的节点；</w:t>
      </w:r>
    </w:p>
    <w:p>
      <w:pPr>
        <w:spacing w:after="156"/>
      </w:pPr>
      <w:r>
        <w:rPr>
          <w:rFonts w:hint="eastAsia"/>
        </w:rPr>
        <w:t>（5）沼气堆积或燃气管网相邻的污水井及其联通空间。</w:t>
      </w:r>
    </w:p>
    <w:bookmarkEnd w:id="71"/>
    <w:p>
      <w:pPr>
        <w:pStyle w:val="3"/>
        <w:spacing w:after="156"/>
      </w:pPr>
      <w:bookmarkStart w:id="72" w:name="_Toc182299755"/>
      <w:bookmarkStart w:id="73" w:name="_Toc184031842"/>
      <w:r>
        <w:rPr>
          <w:rFonts w:hint="eastAsia"/>
        </w:rPr>
        <w:t>桥梁感知网络建设要求</w:t>
      </w:r>
      <w:bookmarkEnd w:id="72"/>
      <w:bookmarkEnd w:id="73"/>
    </w:p>
    <w:p>
      <w:pPr>
        <w:spacing w:after="156"/>
      </w:pPr>
      <w:bookmarkStart w:id="74" w:name="_Hlk163820593"/>
      <w:r>
        <w:rPr>
          <w:rFonts w:hint="eastAsia"/>
        </w:rPr>
        <w:t>桥梁安全监测主要针对桥梁结构响应数据、环境及效应数据和交通荷载数据进行监测，结合桥梁监测数据聚类分析、统计趋势分析、模态分析等专业模型，实现桥梁结构异常及时报警和安全评估。</w:t>
      </w:r>
    </w:p>
    <w:bookmarkEnd w:id="74"/>
    <w:p>
      <w:pPr>
        <w:spacing w:after="156"/>
      </w:pPr>
      <w:r>
        <w:rPr>
          <w:rFonts w:hint="eastAsia"/>
        </w:rPr>
        <w:t>不同结构类型桥梁主要监测要求如</w:t>
      </w:r>
      <w:r>
        <w:fldChar w:fldCharType="begin"/>
      </w:r>
      <w:r>
        <w:instrText xml:space="preserve"> </w:instrText>
      </w:r>
      <w:r>
        <w:rPr>
          <w:rFonts w:hint="eastAsia"/>
        </w:rPr>
        <w:instrText xml:space="preserve">REF _Ref156909403 \h</w:instrText>
      </w:r>
      <w:r>
        <w:instrText xml:space="preserve"> </w:instrText>
      </w:r>
      <w:r>
        <w:fldChar w:fldCharType="separate"/>
      </w:r>
      <w:r>
        <w:rPr>
          <w:rFonts w:hint="eastAsia"/>
        </w:rPr>
        <w:t>表</w:t>
      </w:r>
      <w:r>
        <w:t>7.5</w:t>
      </w:r>
      <w:r>
        <w:noBreakHyphen/>
      </w:r>
      <w:r>
        <w:t>1</w:t>
      </w:r>
      <w:r>
        <w:fldChar w:fldCharType="end"/>
      </w:r>
      <w:r>
        <w:rPr>
          <w:rFonts w:hint="eastAsia"/>
        </w:rPr>
        <w:t>所示，其他要求可参考《公路桥梁结构安全监测系统技术规程》（JT/T1037）等相关标准规范执行。</w:t>
      </w:r>
    </w:p>
    <w:p>
      <w:pPr>
        <w:pStyle w:val="11"/>
        <w:spacing w:after="156"/>
      </w:pPr>
      <w:bookmarkStart w:id="75" w:name="_Ref156909403"/>
      <w:r>
        <w:rPr>
          <w:rFonts w:hint="eastAsia"/>
        </w:rPr>
        <w:t>表</w:t>
      </w:r>
      <w:r>
        <w:fldChar w:fldCharType="begin"/>
      </w:r>
      <w:r>
        <w:instrText xml:space="preserve"> </w:instrText>
      </w:r>
      <w:r>
        <w:rPr>
          <w:rFonts w:hint="eastAsia"/>
        </w:rPr>
        <w:instrText xml:space="preserve">STYLEREF 2 \s</w:instrText>
      </w:r>
      <w:r>
        <w:instrText xml:space="preserve"> </w:instrText>
      </w:r>
      <w:r>
        <w:fldChar w:fldCharType="separate"/>
      </w:r>
      <w:r>
        <w:t>7.5</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t>1</w:t>
      </w:r>
      <w:r>
        <w:fldChar w:fldCharType="end"/>
      </w:r>
      <w:bookmarkEnd w:id="75"/>
      <w:bookmarkStart w:id="76" w:name="_Hlk163820626"/>
      <w:r>
        <w:rPr>
          <w:rFonts w:hint="eastAsia"/>
        </w:rPr>
        <w:t>桥梁结构类型与监测对象对应关系</w:t>
      </w:r>
    </w:p>
    <w:bookmarkEnd w:id="76"/>
    <w:tbl>
      <w:tblPr>
        <w:tblStyle w:val="2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33"/>
        <w:gridCol w:w="837"/>
        <w:gridCol w:w="775"/>
        <w:gridCol w:w="767"/>
        <w:gridCol w:w="738"/>
        <w:gridCol w:w="898"/>
        <w:gridCol w:w="642"/>
        <w:gridCol w:w="735"/>
        <w:gridCol w:w="634"/>
        <w:gridCol w:w="772"/>
        <w:gridCol w:w="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41" w:type="pct"/>
            <w:vMerge w:val="restart"/>
            <w:vAlign w:val="center"/>
          </w:tcPr>
          <w:p>
            <w:pPr>
              <w:spacing w:after="156" w:line="240" w:lineRule="auto"/>
              <w:ind w:firstLine="0" w:firstLineChars="0"/>
              <w:jc w:val="center"/>
              <w:rPr>
                <w:sz w:val="21"/>
                <w:szCs w:val="21"/>
              </w:rPr>
            </w:pPr>
            <w:bookmarkStart w:id="77" w:name="_Hlk163820610"/>
          </w:p>
        </w:tc>
        <w:tc>
          <w:tcPr>
            <w:tcW w:w="2414" w:type="pct"/>
            <w:gridSpan w:val="5"/>
            <w:vAlign w:val="center"/>
          </w:tcPr>
          <w:p>
            <w:pPr>
              <w:spacing w:after="156" w:line="240" w:lineRule="auto"/>
              <w:ind w:firstLine="0" w:firstLineChars="0"/>
              <w:jc w:val="center"/>
              <w:rPr>
                <w:sz w:val="21"/>
                <w:szCs w:val="21"/>
              </w:rPr>
            </w:pPr>
            <w:r>
              <w:rPr>
                <w:rFonts w:hint="eastAsia"/>
                <w:sz w:val="21"/>
                <w:szCs w:val="21"/>
              </w:rPr>
              <w:t>结构响应监测</w:t>
            </w:r>
          </w:p>
        </w:tc>
        <w:tc>
          <w:tcPr>
            <w:tcW w:w="1209" w:type="pct"/>
            <w:gridSpan w:val="3"/>
            <w:vAlign w:val="center"/>
          </w:tcPr>
          <w:p>
            <w:pPr>
              <w:spacing w:after="156" w:line="240" w:lineRule="auto"/>
              <w:ind w:firstLine="0" w:firstLineChars="0"/>
              <w:jc w:val="center"/>
              <w:rPr>
                <w:sz w:val="21"/>
                <w:szCs w:val="21"/>
              </w:rPr>
            </w:pPr>
            <w:r>
              <w:rPr>
                <w:rFonts w:hint="eastAsia"/>
                <w:sz w:val="21"/>
                <w:szCs w:val="21"/>
              </w:rPr>
              <w:t>环境及效应监测</w:t>
            </w:r>
          </w:p>
        </w:tc>
        <w:tc>
          <w:tcPr>
            <w:tcW w:w="464" w:type="pct"/>
            <w:vAlign w:val="center"/>
          </w:tcPr>
          <w:p>
            <w:pPr>
              <w:spacing w:after="156" w:line="240" w:lineRule="auto"/>
              <w:ind w:firstLine="0" w:firstLineChars="0"/>
              <w:jc w:val="center"/>
              <w:rPr>
                <w:sz w:val="21"/>
                <w:szCs w:val="21"/>
              </w:rPr>
            </w:pPr>
            <w:r>
              <w:rPr>
                <w:rFonts w:hint="eastAsia"/>
                <w:sz w:val="21"/>
                <w:szCs w:val="21"/>
              </w:rPr>
              <w:t>交通</w:t>
            </w:r>
          </w:p>
          <w:p>
            <w:pPr>
              <w:spacing w:after="156" w:line="240" w:lineRule="auto"/>
              <w:ind w:firstLine="0" w:firstLineChars="0"/>
              <w:jc w:val="center"/>
              <w:rPr>
                <w:sz w:val="21"/>
                <w:szCs w:val="21"/>
              </w:rPr>
            </w:pPr>
            <w:r>
              <w:rPr>
                <w:rFonts w:hint="eastAsia"/>
                <w:sz w:val="21"/>
                <w:szCs w:val="21"/>
              </w:rPr>
              <w:t>荷载</w:t>
            </w:r>
          </w:p>
        </w:tc>
        <w:tc>
          <w:tcPr>
            <w:tcW w:w="472" w:type="pct"/>
            <w:vAlign w:val="center"/>
          </w:tcPr>
          <w:p>
            <w:pPr>
              <w:spacing w:after="156" w:line="240" w:lineRule="auto"/>
              <w:ind w:firstLine="0" w:firstLineChars="0"/>
              <w:jc w:val="center"/>
              <w:rPr>
                <w:sz w:val="21"/>
                <w:szCs w:val="21"/>
              </w:rPr>
            </w:pPr>
            <w:r>
              <w:rPr>
                <w:rFonts w:hint="eastAsia"/>
                <w:sz w:val="21"/>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441" w:type="pct"/>
            <w:vMerge w:val="continue"/>
            <w:tcBorders>
              <w:top w:val="nil"/>
            </w:tcBorders>
            <w:vAlign w:val="center"/>
          </w:tcPr>
          <w:p>
            <w:pPr>
              <w:spacing w:after="156" w:line="240" w:lineRule="auto"/>
              <w:ind w:firstLine="0" w:firstLineChars="0"/>
              <w:jc w:val="center"/>
              <w:rPr>
                <w:sz w:val="21"/>
                <w:szCs w:val="21"/>
                <w:lang w:eastAsia="en-US"/>
              </w:rPr>
            </w:pPr>
          </w:p>
        </w:tc>
        <w:tc>
          <w:tcPr>
            <w:tcW w:w="503" w:type="pct"/>
            <w:vAlign w:val="center"/>
          </w:tcPr>
          <w:p>
            <w:pPr>
              <w:spacing w:after="156" w:line="240" w:lineRule="auto"/>
              <w:ind w:firstLine="0" w:firstLineChars="0"/>
              <w:jc w:val="center"/>
              <w:rPr>
                <w:sz w:val="21"/>
                <w:szCs w:val="21"/>
              </w:rPr>
            </w:pPr>
            <w:r>
              <w:rPr>
                <w:rFonts w:hint="eastAsia"/>
                <w:sz w:val="21"/>
                <w:szCs w:val="21"/>
              </w:rPr>
              <w:t>支座反力和位</w:t>
            </w:r>
          </w:p>
          <w:p>
            <w:pPr>
              <w:spacing w:after="156" w:line="240" w:lineRule="auto"/>
              <w:ind w:firstLine="0" w:firstLineChars="0"/>
              <w:jc w:val="center"/>
              <w:rPr>
                <w:sz w:val="21"/>
                <w:szCs w:val="21"/>
              </w:rPr>
            </w:pPr>
            <w:r>
              <w:rPr>
                <w:rFonts w:hint="eastAsia"/>
                <w:sz w:val="21"/>
                <w:szCs w:val="21"/>
              </w:rPr>
              <w:t>移</w:t>
            </w:r>
          </w:p>
        </w:tc>
        <w:tc>
          <w:tcPr>
            <w:tcW w:w="466" w:type="pct"/>
            <w:vAlign w:val="center"/>
          </w:tcPr>
          <w:p>
            <w:pPr>
              <w:spacing w:after="156" w:line="240" w:lineRule="auto"/>
              <w:ind w:firstLine="0" w:firstLineChars="0"/>
              <w:jc w:val="center"/>
              <w:rPr>
                <w:sz w:val="21"/>
                <w:szCs w:val="21"/>
              </w:rPr>
            </w:pPr>
            <w:r>
              <w:rPr>
                <w:rFonts w:hint="eastAsia"/>
                <w:sz w:val="21"/>
                <w:szCs w:val="21"/>
              </w:rPr>
              <w:t>竖向变形</w:t>
            </w:r>
          </w:p>
        </w:tc>
        <w:tc>
          <w:tcPr>
            <w:tcW w:w="461" w:type="pct"/>
            <w:vAlign w:val="center"/>
          </w:tcPr>
          <w:p>
            <w:pPr>
              <w:spacing w:after="156" w:line="240" w:lineRule="auto"/>
              <w:ind w:firstLine="0" w:firstLineChars="0"/>
              <w:jc w:val="center"/>
              <w:rPr>
                <w:sz w:val="21"/>
                <w:szCs w:val="21"/>
              </w:rPr>
            </w:pPr>
            <w:r>
              <w:rPr>
                <w:rFonts w:hint="eastAsia"/>
                <w:sz w:val="21"/>
                <w:szCs w:val="21"/>
              </w:rPr>
              <w:t>水平变形</w:t>
            </w:r>
          </w:p>
        </w:tc>
        <w:tc>
          <w:tcPr>
            <w:tcW w:w="444" w:type="pct"/>
            <w:vAlign w:val="center"/>
          </w:tcPr>
          <w:p>
            <w:pPr>
              <w:spacing w:after="156" w:line="240" w:lineRule="auto"/>
              <w:ind w:firstLine="0" w:firstLineChars="0"/>
              <w:jc w:val="center"/>
              <w:rPr>
                <w:sz w:val="21"/>
                <w:szCs w:val="21"/>
              </w:rPr>
            </w:pPr>
            <w:r>
              <w:rPr>
                <w:rFonts w:hint="eastAsia"/>
                <w:sz w:val="21"/>
                <w:szCs w:val="21"/>
              </w:rPr>
              <w:t>应变监测</w:t>
            </w:r>
          </w:p>
        </w:tc>
        <w:tc>
          <w:tcPr>
            <w:tcW w:w="540" w:type="pct"/>
            <w:vAlign w:val="center"/>
          </w:tcPr>
          <w:p>
            <w:pPr>
              <w:spacing w:after="156" w:line="240" w:lineRule="auto"/>
              <w:ind w:firstLine="0" w:firstLineChars="0"/>
              <w:jc w:val="center"/>
              <w:rPr>
                <w:sz w:val="21"/>
                <w:szCs w:val="21"/>
              </w:rPr>
            </w:pPr>
            <w:r>
              <w:rPr>
                <w:rFonts w:hint="eastAsia"/>
                <w:sz w:val="21"/>
                <w:szCs w:val="21"/>
              </w:rPr>
              <w:t>动力响应</w:t>
            </w:r>
          </w:p>
        </w:tc>
        <w:tc>
          <w:tcPr>
            <w:tcW w:w="386" w:type="pct"/>
            <w:vAlign w:val="center"/>
          </w:tcPr>
          <w:p>
            <w:pPr>
              <w:spacing w:after="156" w:line="240" w:lineRule="auto"/>
              <w:ind w:firstLine="0" w:firstLineChars="0"/>
              <w:jc w:val="center"/>
              <w:rPr>
                <w:sz w:val="21"/>
                <w:szCs w:val="21"/>
              </w:rPr>
            </w:pPr>
            <w:r>
              <w:rPr>
                <w:rFonts w:hint="eastAsia"/>
                <w:sz w:val="21"/>
                <w:szCs w:val="21"/>
              </w:rPr>
              <w:t>风</w:t>
            </w:r>
          </w:p>
        </w:tc>
        <w:tc>
          <w:tcPr>
            <w:tcW w:w="442" w:type="pct"/>
            <w:vAlign w:val="center"/>
          </w:tcPr>
          <w:p>
            <w:pPr>
              <w:spacing w:after="156" w:line="240" w:lineRule="auto"/>
              <w:ind w:firstLine="0" w:firstLineChars="0"/>
              <w:jc w:val="center"/>
              <w:rPr>
                <w:sz w:val="21"/>
                <w:szCs w:val="21"/>
              </w:rPr>
            </w:pPr>
            <w:r>
              <w:rPr>
                <w:rFonts w:hint="eastAsia"/>
                <w:sz w:val="21"/>
                <w:szCs w:val="21"/>
              </w:rPr>
              <w:t>温湿度</w:t>
            </w:r>
          </w:p>
        </w:tc>
        <w:tc>
          <w:tcPr>
            <w:tcW w:w="381" w:type="pct"/>
            <w:vAlign w:val="center"/>
          </w:tcPr>
          <w:p>
            <w:pPr>
              <w:spacing w:after="156" w:line="240" w:lineRule="auto"/>
              <w:ind w:firstLine="0" w:firstLineChars="0"/>
              <w:jc w:val="center"/>
              <w:rPr>
                <w:sz w:val="21"/>
                <w:szCs w:val="21"/>
              </w:rPr>
            </w:pPr>
            <w:r>
              <w:rPr>
                <w:rFonts w:hint="eastAsia"/>
                <w:sz w:val="21"/>
                <w:szCs w:val="21"/>
              </w:rPr>
              <w:t>地震</w:t>
            </w:r>
          </w:p>
        </w:tc>
        <w:tc>
          <w:tcPr>
            <w:tcW w:w="464" w:type="pct"/>
            <w:vAlign w:val="center"/>
          </w:tcPr>
          <w:p>
            <w:pPr>
              <w:spacing w:after="156" w:line="240" w:lineRule="auto"/>
              <w:ind w:firstLine="0" w:firstLineChars="0"/>
              <w:jc w:val="center"/>
              <w:rPr>
                <w:sz w:val="21"/>
                <w:szCs w:val="21"/>
              </w:rPr>
            </w:pPr>
            <w:r>
              <w:rPr>
                <w:rFonts w:hint="eastAsia"/>
                <w:sz w:val="21"/>
                <w:szCs w:val="21"/>
              </w:rPr>
              <w:t>车辆荷载</w:t>
            </w:r>
          </w:p>
        </w:tc>
        <w:tc>
          <w:tcPr>
            <w:tcW w:w="472" w:type="pct"/>
            <w:vAlign w:val="center"/>
          </w:tcPr>
          <w:p>
            <w:pPr>
              <w:spacing w:after="156" w:line="240" w:lineRule="auto"/>
              <w:ind w:firstLine="0" w:firstLineChars="0"/>
              <w:jc w:val="center"/>
              <w:rPr>
                <w:sz w:val="21"/>
                <w:szCs w:val="21"/>
              </w:rPr>
            </w:pPr>
            <w:r>
              <w:rPr>
                <w:rFonts w:hint="eastAsia"/>
                <w:sz w:val="21"/>
                <w:szCs w:val="21"/>
              </w:rPr>
              <w:t>基础沉降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41" w:type="pct"/>
            <w:vAlign w:val="center"/>
          </w:tcPr>
          <w:p>
            <w:pPr>
              <w:spacing w:after="156" w:line="240" w:lineRule="auto"/>
              <w:ind w:firstLine="0" w:firstLineChars="0"/>
              <w:jc w:val="center"/>
              <w:rPr>
                <w:sz w:val="21"/>
                <w:szCs w:val="21"/>
              </w:rPr>
            </w:pPr>
            <w:r>
              <w:rPr>
                <w:rFonts w:hint="eastAsia"/>
                <w:sz w:val="21"/>
                <w:szCs w:val="21"/>
              </w:rPr>
              <w:t>梁桥</w:t>
            </w:r>
          </w:p>
        </w:tc>
        <w:tc>
          <w:tcPr>
            <w:tcW w:w="503" w:type="pct"/>
            <w:vAlign w:val="center"/>
          </w:tcPr>
          <w:p>
            <w:pPr>
              <w:spacing w:after="156" w:line="240" w:lineRule="auto"/>
              <w:ind w:firstLine="0" w:firstLineChars="0"/>
              <w:jc w:val="center"/>
              <w:rPr>
                <w:sz w:val="21"/>
                <w:szCs w:val="21"/>
              </w:rPr>
            </w:pPr>
            <w:r>
              <w:rPr>
                <w:rFonts w:hint="eastAsia"/>
                <w:sz w:val="21"/>
                <w:szCs w:val="21"/>
              </w:rPr>
              <w:t>▲</w:t>
            </w:r>
          </w:p>
        </w:tc>
        <w:tc>
          <w:tcPr>
            <w:tcW w:w="466" w:type="pct"/>
            <w:vAlign w:val="center"/>
          </w:tcPr>
          <w:p>
            <w:pPr>
              <w:spacing w:after="156" w:line="240" w:lineRule="auto"/>
              <w:ind w:firstLine="0" w:firstLineChars="0"/>
              <w:jc w:val="center"/>
              <w:rPr>
                <w:sz w:val="21"/>
                <w:szCs w:val="21"/>
              </w:rPr>
            </w:pPr>
            <w:r>
              <w:rPr>
                <w:rFonts w:hint="eastAsia"/>
                <w:sz w:val="21"/>
                <w:szCs w:val="21"/>
              </w:rPr>
              <w:t>★</w:t>
            </w:r>
          </w:p>
        </w:tc>
        <w:tc>
          <w:tcPr>
            <w:tcW w:w="461" w:type="pct"/>
            <w:vAlign w:val="center"/>
          </w:tcPr>
          <w:p>
            <w:pPr>
              <w:spacing w:after="156" w:line="240" w:lineRule="auto"/>
              <w:ind w:firstLine="0" w:firstLineChars="0"/>
              <w:jc w:val="center"/>
              <w:rPr>
                <w:sz w:val="21"/>
                <w:szCs w:val="21"/>
              </w:rPr>
            </w:pPr>
            <w:r>
              <w:rPr>
                <w:rFonts w:hint="eastAsia"/>
                <w:sz w:val="21"/>
                <w:szCs w:val="21"/>
              </w:rPr>
              <w:t>○</w:t>
            </w:r>
          </w:p>
        </w:tc>
        <w:tc>
          <w:tcPr>
            <w:tcW w:w="444" w:type="pct"/>
            <w:vAlign w:val="center"/>
          </w:tcPr>
          <w:p>
            <w:pPr>
              <w:spacing w:after="156" w:line="240" w:lineRule="auto"/>
              <w:ind w:firstLine="0" w:firstLineChars="0"/>
              <w:jc w:val="center"/>
              <w:rPr>
                <w:sz w:val="21"/>
                <w:szCs w:val="21"/>
              </w:rPr>
            </w:pPr>
            <w:r>
              <w:rPr>
                <w:rFonts w:hint="eastAsia"/>
                <w:sz w:val="21"/>
                <w:szCs w:val="21"/>
              </w:rPr>
              <w:t>★</w:t>
            </w:r>
          </w:p>
        </w:tc>
        <w:tc>
          <w:tcPr>
            <w:tcW w:w="540" w:type="pct"/>
            <w:vAlign w:val="center"/>
          </w:tcPr>
          <w:p>
            <w:pPr>
              <w:spacing w:after="156" w:line="240" w:lineRule="auto"/>
              <w:ind w:firstLine="0" w:firstLineChars="0"/>
              <w:jc w:val="center"/>
              <w:rPr>
                <w:sz w:val="21"/>
                <w:szCs w:val="21"/>
              </w:rPr>
            </w:pPr>
            <w:r>
              <w:rPr>
                <w:rFonts w:hint="eastAsia"/>
                <w:sz w:val="21"/>
                <w:szCs w:val="21"/>
              </w:rPr>
              <w:t>▲</w:t>
            </w:r>
          </w:p>
        </w:tc>
        <w:tc>
          <w:tcPr>
            <w:tcW w:w="386" w:type="pct"/>
            <w:vAlign w:val="center"/>
          </w:tcPr>
          <w:p>
            <w:pPr>
              <w:spacing w:after="156" w:line="240" w:lineRule="auto"/>
              <w:ind w:firstLine="0" w:firstLineChars="0"/>
              <w:jc w:val="center"/>
              <w:rPr>
                <w:sz w:val="21"/>
                <w:szCs w:val="21"/>
              </w:rPr>
            </w:pPr>
            <w:r>
              <w:rPr>
                <w:rFonts w:hint="eastAsia"/>
                <w:sz w:val="21"/>
                <w:szCs w:val="21"/>
              </w:rPr>
              <w:t>○</w:t>
            </w:r>
          </w:p>
        </w:tc>
        <w:tc>
          <w:tcPr>
            <w:tcW w:w="442" w:type="pct"/>
            <w:vAlign w:val="center"/>
          </w:tcPr>
          <w:p>
            <w:pPr>
              <w:spacing w:after="156" w:line="240" w:lineRule="auto"/>
              <w:ind w:firstLine="0" w:firstLineChars="0"/>
              <w:jc w:val="center"/>
              <w:rPr>
                <w:sz w:val="21"/>
                <w:szCs w:val="21"/>
              </w:rPr>
            </w:pPr>
            <w:r>
              <w:rPr>
                <w:rFonts w:hint="eastAsia"/>
                <w:sz w:val="21"/>
                <w:szCs w:val="21"/>
              </w:rPr>
              <w:t>★</w:t>
            </w:r>
          </w:p>
        </w:tc>
        <w:tc>
          <w:tcPr>
            <w:tcW w:w="381" w:type="pct"/>
            <w:vAlign w:val="center"/>
          </w:tcPr>
          <w:p>
            <w:pPr>
              <w:spacing w:after="156" w:line="240" w:lineRule="auto"/>
              <w:ind w:firstLine="0" w:firstLineChars="0"/>
              <w:jc w:val="center"/>
              <w:rPr>
                <w:sz w:val="21"/>
                <w:szCs w:val="21"/>
              </w:rPr>
            </w:pPr>
            <w:r>
              <w:rPr>
                <w:rFonts w:hint="eastAsia"/>
                <w:sz w:val="21"/>
                <w:szCs w:val="21"/>
              </w:rPr>
              <w:t>▲</w:t>
            </w:r>
          </w:p>
        </w:tc>
        <w:tc>
          <w:tcPr>
            <w:tcW w:w="464" w:type="pct"/>
            <w:vAlign w:val="center"/>
          </w:tcPr>
          <w:p>
            <w:pPr>
              <w:spacing w:after="156" w:line="240" w:lineRule="auto"/>
              <w:ind w:firstLine="0" w:firstLineChars="0"/>
              <w:jc w:val="center"/>
              <w:rPr>
                <w:sz w:val="21"/>
                <w:szCs w:val="21"/>
              </w:rPr>
            </w:pPr>
            <w:r>
              <w:rPr>
                <w:rFonts w:hint="eastAsia"/>
                <w:sz w:val="21"/>
                <w:szCs w:val="21"/>
              </w:rPr>
              <w:t>★</w:t>
            </w:r>
          </w:p>
        </w:tc>
        <w:tc>
          <w:tcPr>
            <w:tcW w:w="472" w:type="pct"/>
            <w:vAlign w:val="center"/>
          </w:tcPr>
          <w:p>
            <w:pPr>
              <w:spacing w:after="156" w:line="240" w:lineRule="auto"/>
              <w:ind w:firstLine="0" w:firstLineChars="0"/>
              <w:jc w:val="center"/>
              <w:rPr>
                <w:sz w:val="21"/>
                <w:szCs w:val="21"/>
              </w:rPr>
            </w:pPr>
            <w:r>
              <w:rPr>
                <w:rFonts w:hint="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41" w:type="pct"/>
            <w:vAlign w:val="center"/>
          </w:tcPr>
          <w:p>
            <w:pPr>
              <w:spacing w:after="156" w:line="240" w:lineRule="auto"/>
              <w:ind w:firstLine="0" w:firstLineChars="0"/>
              <w:jc w:val="center"/>
              <w:rPr>
                <w:sz w:val="21"/>
                <w:szCs w:val="21"/>
              </w:rPr>
            </w:pPr>
            <w:r>
              <w:rPr>
                <w:rFonts w:hint="eastAsia"/>
                <w:sz w:val="21"/>
                <w:szCs w:val="21"/>
              </w:rPr>
              <w:t>拱桥</w:t>
            </w:r>
          </w:p>
        </w:tc>
        <w:tc>
          <w:tcPr>
            <w:tcW w:w="503" w:type="pct"/>
            <w:vAlign w:val="center"/>
          </w:tcPr>
          <w:p>
            <w:pPr>
              <w:spacing w:after="156" w:line="240" w:lineRule="auto"/>
              <w:ind w:firstLine="0" w:firstLineChars="0"/>
              <w:jc w:val="center"/>
              <w:rPr>
                <w:sz w:val="21"/>
                <w:szCs w:val="21"/>
              </w:rPr>
            </w:pPr>
            <w:r>
              <w:rPr>
                <w:rFonts w:hint="eastAsia"/>
                <w:sz w:val="21"/>
                <w:szCs w:val="21"/>
              </w:rPr>
              <w:t>▲</w:t>
            </w:r>
          </w:p>
        </w:tc>
        <w:tc>
          <w:tcPr>
            <w:tcW w:w="466" w:type="pct"/>
            <w:vAlign w:val="center"/>
          </w:tcPr>
          <w:p>
            <w:pPr>
              <w:spacing w:after="156" w:line="240" w:lineRule="auto"/>
              <w:ind w:firstLine="0" w:firstLineChars="0"/>
              <w:jc w:val="center"/>
              <w:rPr>
                <w:sz w:val="21"/>
                <w:szCs w:val="21"/>
              </w:rPr>
            </w:pPr>
            <w:r>
              <w:rPr>
                <w:rFonts w:hint="eastAsia"/>
                <w:sz w:val="21"/>
                <w:szCs w:val="21"/>
              </w:rPr>
              <w:t>★</w:t>
            </w:r>
          </w:p>
        </w:tc>
        <w:tc>
          <w:tcPr>
            <w:tcW w:w="461" w:type="pct"/>
            <w:vAlign w:val="center"/>
          </w:tcPr>
          <w:p>
            <w:pPr>
              <w:spacing w:after="156" w:line="240" w:lineRule="auto"/>
              <w:ind w:firstLine="0" w:firstLineChars="0"/>
              <w:jc w:val="center"/>
              <w:rPr>
                <w:sz w:val="21"/>
                <w:szCs w:val="21"/>
              </w:rPr>
            </w:pPr>
            <w:r>
              <w:rPr>
                <w:rFonts w:hint="eastAsia"/>
                <w:sz w:val="21"/>
                <w:szCs w:val="21"/>
              </w:rPr>
              <w:t>▲</w:t>
            </w:r>
          </w:p>
        </w:tc>
        <w:tc>
          <w:tcPr>
            <w:tcW w:w="444" w:type="pct"/>
            <w:vAlign w:val="center"/>
          </w:tcPr>
          <w:p>
            <w:pPr>
              <w:spacing w:after="156" w:line="240" w:lineRule="auto"/>
              <w:ind w:firstLine="0" w:firstLineChars="0"/>
              <w:jc w:val="center"/>
              <w:rPr>
                <w:sz w:val="21"/>
                <w:szCs w:val="21"/>
              </w:rPr>
            </w:pPr>
            <w:r>
              <w:rPr>
                <w:rFonts w:hint="eastAsia"/>
                <w:sz w:val="21"/>
                <w:szCs w:val="21"/>
              </w:rPr>
              <w:t>★</w:t>
            </w:r>
          </w:p>
        </w:tc>
        <w:tc>
          <w:tcPr>
            <w:tcW w:w="540" w:type="pct"/>
            <w:vAlign w:val="center"/>
          </w:tcPr>
          <w:p>
            <w:pPr>
              <w:spacing w:after="156" w:line="240" w:lineRule="auto"/>
              <w:ind w:firstLine="0" w:firstLineChars="0"/>
              <w:jc w:val="center"/>
              <w:rPr>
                <w:sz w:val="21"/>
                <w:szCs w:val="21"/>
              </w:rPr>
            </w:pPr>
            <w:r>
              <w:rPr>
                <w:rFonts w:hint="eastAsia"/>
                <w:sz w:val="21"/>
                <w:szCs w:val="21"/>
              </w:rPr>
              <w:t>▲</w:t>
            </w:r>
          </w:p>
        </w:tc>
        <w:tc>
          <w:tcPr>
            <w:tcW w:w="386" w:type="pct"/>
            <w:vAlign w:val="center"/>
          </w:tcPr>
          <w:p>
            <w:pPr>
              <w:spacing w:after="156" w:line="240" w:lineRule="auto"/>
              <w:ind w:firstLine="0" w:firstLineChars="0"/>
              <w:jc w:val="center"/>
              <w:rPr>
                <w:sz w:val="21"/>
                <w:szCs w:val="21"/>
              </w:rPr>
            </w:pPr>
            <w:r>
              <w:rPr>
                <w:rFonts w:hint="eastAsia"/>
                <w:sz w:val="21"/>
                <w:szCs w:val="21"/>
              </w:rPr>
              <w:t>○</w:t>
            </w:r>
          </w:p>
        </w:tc>
        <w:tc>
          <w:tcPr>
            <w:tcW w:w="442" w:type="pct"/>
            <w:vAlign w:val="center"/>
          </w:tcPr>
          <w:p>
            <w:pPr>
              <w:spacing w:after="156" w:line="240" w:lineRule="auto"/>
              <w:ind w:firstLine="0" w:firstLineChars="0"/>
              <w:jc w:val="center"/>
              <w:rPr>
                <w:sz w:val="21"/>
                <w:szCs w:val="21"/>
              </w:rPr>
            </w:pPr>
            <w:r>
              <w:rPr>
                <w:rFonts w:hint="eastAsia"/>
                <w:sz w:val="21"/>
                <w:szCs w:val="21"/>
              </w:rPr>
              <w:t>★</w:t>
            </w:r>
          </w:p>
        </w:tc>
        <w:tc>
          <w:tcPr>
            <w:tcW w:w="381" w:type="pct"/>
            <w:vAlign w:val="center"/>
          </w:tcPr>
          <w:p>
            <w:pPr>
              <w:spacing w:after="156" w:line="240" w:lineRule="auto"/>
              <w:ind w:firstLine="0" w:firstLineChars="0"/>
              <w:jc w:val="center"/>
              <w:rPr>
                <w:sz w:val="21"/>
                <w:szCs w:val="21"/>
              </w:rPr>
            </w:pPr>
            <w:r>
              <w:rPr>
                <w:rFonts w:hint="eastAsia"/>
                <w:sz w:val="21"/>
                <w:szCs w:val="21"/>
              </w:rPr>
              <w:t>▲</w:t>
            </w:r>
          </w:p>
        </w:tc>
        <w:tc>
          <w:tcPr>
            <w:tcW w:w="464" w:type="pct"/>
            <w:vAlign w:val="center"/>
          </w:tcPr>
          <w:p>
            <w:pPr>
              <w:spacing w:after="156" w:line="240" w:lineRule="auto"/>
              <w:ind w:firstLine="0" w:firstLineChars="0"/>
              <w:jc w:val="center"/>
              <w:rPr>
                <w:sz w:val="21"/>
                <w:szCs w:val="21"/>
              </w:rPr>
            </w:pPr>
            <w:r>
              <w:rPr>
                <w:rFonts w:hint="eastAsia"/>
                <w:sz w:val="21"/>
                <w:szCs w:val="21"/>
              </w:rPr>
              <w:t>★</w:t>
            </w:r>
          </w:p>
        </w:tc>
        <w:tc>
          <w:tcPr>
            <w:tcW w:w="472" w:type="pct"/>
            <w:vAlign w:val="center"/>
          </w:tcPr>
          <w:p>
            <w:pPr>
              <w:spacing w:after="156" w:line="240" w:lineRule="auto"/>
              <w:ind w:firstLine="0" w:firstLineChars="0"/>
              <w:jc w:val="center"/>
              <w:rPr>
                <w:sz w:val="21"/>
                <w:szCs w:val="21"/>
              </w:rPr>
            </w:pPr>
            <w:r>
              <w:rPr>
                <w:rFonts w:hint="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441" w:type="pct"/>
            <w:vAlign w:val="center"/>
          </w:tcPr>
          <w:p>
            <w:pPr>
              <w:spacing w:after="156" w:line="240" w:lineRule="auto"/>
              <w:ind w:firstLine="0" w:firstLineChars="0"/>
              <w:jc w:val="center"/>
              <w:rPr>
                <w:sz w:val="21"/>
                <w:szCs w:val="21"/>
              </w:rPr>
            </w:pPr>
            <w:r>
              <w:rPr>
                <w:rFonts w:hint="eastAsia"/>
                <w:sz w:val="21"/>
                <w:szCs w:val="21"/>
              </w:rPr>
              <w:t>斜拉</w:t>
            </w:r>
          </w:p>
          <w:p>
            <w:pPr>
              <w:spacing w:after="156" w:line="240" w:lineRule="auto"/>
              <w:ind w:firstLine="0" w:firstLineChars="0"/>
              <w:jc w:val="center"/>
              <w:rPr>
                <w:sz w:val="21"/>
                <w:szCs w:val="21"/>
              </w:rPr>
            </w:pPr>
            <w:r>
              <w:rPr>
                <w:rFonts w:hint="eastAsia"/>
                <w:sz w:val="21"/>
                <w:szCs w:val="21"/>
              </w:rPr>
              <w:t>桥</w:t>
            </w:r>
          </w:p>
        </w:tc>
        <w:tc>
          <w:tcPr>
            <w:tcW w:w="503" w:type="pct"/>
            <w:vAlign w:val="center"/>
          </w:tcPr>
          <w:p>
            <w:pPr>
              <w:spacing w:after="156" w:line="240" w:lineRule="auto"/>
              <w:ind w:firstLine="0" w:firstLineChars="0"/>
              <w:jc w:val="center"/>
              <w:rPr>
                <w:sz w:val="21"/>
                <w:szCs w:val="21"/>
              </w:rPr>
            </w:pPr>
            <w:r>
              <w:rPr>
                <w:rFonts w:hint="eastAsia"/>
                <w:sz w:val="21"/>
                <w:szCs w:val="21"/>
              </w:rPr>
              <w:t>▲</w:t>
            </w:r>
          </w:p>
        </w:tc>
        <w:tc>
          <w:tcPr>
            <w:tcW w:w="466" w:type="pct"/>
            <w:vAlign w:val="center"/>
          </w:tcPr>
          <w:p>
            <w:pPr>
              <w:spacing w:after="156" w:line="240" w:lineRule="auto"/>
              <w:ind w:firstLine="0" w:firstLineChars="0"/>
              <w:jc w:val="center"/>
              <w:rPr>
                <w:sz w:val="21"/>
                <w:szCs w:val="21"/>
              </w:rPr>
            </w:pPr>
            <w:r>
              <w:rPr>
                <w:rFonts w:hint="eastAsia"/>
                <w:sz w:val="21"/>
                <w:szCs w:val="21"/>
              </w:rPr>
              <w:t>★</w:t>
            </w:r>
          </w:p>
        </w:tc>
        <w:tc>
          <w:tcPr>
            <w:tcW w:w="461" w:type="pct"/>
            <w:vAlign w:val="center"/>
          </w:tcPr>
          <w:p>
            <w:pPr>
              <w:spacing w:after="156" w:line="240" w:lineRule="auto"/>
              <w:ind w:firstLine="0" w:firstLineChars="0"/>
              <w:jc w:val="center"/>
              <w:rPr>
                <w:sz w:val="21"/>
                <w:szCs w:val="21"/>
              </w:rPr>
            </w:pPr>
            <w:r>
              <w:rPr>
                <w:rFonts w:hint="eastAsia"/>
                <w:sz w:val="21"/>
                <w:szCs w:val="21"/>
              </w:rPr>
              <w:t>▲</w:t>
            </w:r>
          </w:p>
        </w:tc>
        <w:tc>
          <w:tcPr>
            <w:tcW w:w="444" w:type="pct"/>
            <w:vAlign w:val="center"/>
          </w:tcPr>
          <w:p>
            <w:pPr>
              <w:spacing w:after="156" w:line="240" w:lineRule="auto"/>
              <w:ind w:firstLine="0" w:firstLineChars="0"/>
              <w:jc w:val="center"/>
              <w:rPr>
                <w:sz w:val="21"/>
                <w:szCs w:val="21"/>
              </w:rPr>
            </w:pPr>
            <w:r>
              <w:rPr>
                <w:rFonts w:hint="eastAsia"/>
                <w:sz w:val="21"/>
                <w:szCs w:val="21"/>
              </w:rPr>
              <w:t>★</w:t>
            </w:r>
          </w:p>
        </w:tc>
        <w:tc>
          <w:tcPr>
            <w:tcW w:w="540" w:type="pct"/>
            <w:vAlign w:val="center"/>
          </w:tcPr>
          <w:p>
            <w:pPr>
              <w:spacing w:after="156" w:line="240" w:lineRule="auto"/>
              <w:ind w:firstLine="0" w:firstLineChars="0"/>
              <w:jc w:val="center"/>
              <w:rPr>
                <w:sz w:val="21"/>
                <w:szCs w:val="21"/>
              </w:rPr>
            </w:pPr>
            <w:r>
              <w:rPr>
                <w:rFonts w:hint="eastAsia"/>
                <w:sz w:val="21"/>
                <w:szCs w:val="21"/>
              </w:rPr>
              <w:t>▲</w:t>
            </w:r>
          </w:p>
        </w:tc>
        <w:tc>
          <w:tcPr>
            <w:tcW w:w="386" w:type="pct"/>
            <w:vAlign w:val="center"/>
          </w:tcPr>
          <w:p>
            <w:pPr>
              <w:spacing w:after="156" w:line="240" w:lineRule="auto"/>
              <w:ind w:firstLine="0" w:firstLineChars="0"/>
              <w:jc w:val="center"/>
              <w:rPr>
                <w:sz w:val="21"/>
                <w:szCs w:val="21"/>
              </w:rPr>
            </w:pPr>
            <w:r>
              <w:rPr>
                <w:rFonts w:hint="eastAsia"/>
                <w:sz w:val="21"/>
                <w:szCs w:val="21"/>
              </w:rPr>
              <w:t>★</w:t>
            </w:r>
          </w:p>
        </w:tc>
        <w:tc>
          <w:tcPr>
            <w:tcW w:w="442" w:type="pct"/>
            <w:vAlign w:val="center"/>
          </w:tcPr>
          <w:p>
            <w:pPr>
              <w:spacing w:after="156" w:line="240" w:lineRule="auto"/>
              <w:ind w:firstLine="0" w:firstLineChars="0"/>
              <w:jc w:val="center"/>
              <w:rPr>
                <w:sz w:val="21"/>
                <w:szCs w:val="21"/>
              </w:rPr>
            </w:pPr>
            <w:r>
              <w:rPr>
                <w:rFonts w:hint="eastAsia"/>
                <w:sz w:val="21"/>
                <w:szCs w:val="21"/>
              </w:rPr>
              <w:t>★</w:t>
            </w:r>
          </w:p>
        </w:tc>
        <w:tc>
          <w:tcPr>
            <w:tcW w:w="381" w:type="pct"/>
            <w:vAlign w:val="center"/>
          </w:tcPr>
          <w:p>
            <w:pPr>
              <w:spacing w:after="156" w:line="240" w:lineRule="auto"/>
              <w:ind w:firstLine="0" w:firstLineChars="0"/>
              <w:jc w:val="center"/>
              <w:rPr>
                <w:sz w:val="21"/>
                <w:szCs w:val="21"/>
              </w:rPr>
            </w:pPr>
            <w:r>
              <w:rPr>
                <w:rFonts w:hint="eastAsia"/>
                <w:sz w:val="21"/>
                <w:szCs w:val="21"/>
              </w:rPr>
              <w:t>▲</w:t>
            </w:r>
          </w:p>
        </w:tc>
        <w:tc>
          <w:tcPr>
            <w:tcW w:w="464" w:type="pct"/>
            <w:vAlign w:val="center"/>
          </w:tcPr>
          <w:p>
            <w:pPr>
              <w:spacing w:after="156" w:line="240" w:lineRule="auto"/>
              <w:ind w:firstLine="0" w:firstLineChars="0"/>
              <w:jc w:val="center"/>
              <w:rPr>
                <w:sz w:val="21"/>
                <w:szCs w:val="21"/>
              </w:rPr>
            </w:pPr>
            <w:r>
              <w:rPr>
                <w:rFonts w:hint="eastAsia"/>
                <w:sz w:val="21"/>
                <w:szCs w:val="21"/>
              </w:rPr>
              <w:t>★</w:t>
            </w:r>
          </w:p>
        </w:tc>
        <w:tc>
          <w:tcPr>
            <w:tcW w:w="472" w:type="pct"/>
            <w:vAlign w:val="center"/>
          </w:tcPr>
          <w:p>
            <w:pPr>
              <w:spacing w:after="156" w:line="240" w:lineRule="auto"/>
              <w:ind w:firstLine="0" w:firstLineChars="0"/>
              <w:jc w:val="center"/>
              <w:rPr>
                <w:sz w:val="21"/>
                <w:szCs w:val="21"/>
              </w:rPr>
            </w:pPr>
            <w:r>
              <w:rPr>
                <w:rFonts w:hint="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41" w:type="pct"/>
            <w:vAlign w:val="center"/>
          </w:tcPr>
          <w:p>
            <w:pPr>
              <w:spacing w:after="156" w:line="240" w:lineRule="auto"/>
              <w:ind w:firstLine="0" w:firstLineChars="0"/>
              <w:jc w:val="center"/>
              <w:rPr>
                <w:sz w:val="21"/>
                <w:szCs w:val="21"/>
              </w:rPr>
            </w:pPr>
            <w:r>
              <w:rPr>
                <w:rFonts w:hint="eastAsia"/>
                <w:sz w:val="21"/>
                <w:szCs w:val="21"/>
              </w:rPr>
              <w:t>悬索桥</w:t>
            </w:r>
          </w:p>
        </w:tc>
        <w:tc>
          <w:tcPr>
            <w:tcW w:w="503" w:type="pct"/>
            <w:vAlign w:val="center"/>
          </w:tcPr>
          <w:p>
            <w:pPr>
              <w:spacing w:after="156" w:line="240" w:lineRule="auto"/>
              <w:ind w:firstLine="0" w:firstLineChars="0"/>
              <w:jc w:val="center"/>
              <w:rPr>
                <w:sz w:val="21"/>
                <w:szCs w:val="21"/>
              </w:rPr>
            </w:pPr>
            <w:r>
              <w:rPr>
                <w:rFonts w:hint="eastAsia"/>
                <w:sz w:val="21"/>
                <w:szCs w:val="21"/>
              </w:rPr>
              <w:t>▲</w:t>
            </w:r>
          </w:p>
        </w:tc>
        <w:tc>
          <w:tcPr>
            <w:tcW w:w="466" w:type="pct"/>
            <w:vAlign w:val="center"/>
          </w:tcPr>
          <w:p>
            <w:pPr>
              <w:spacing w:after="156" w:line="240" w:lineRule="auto"/>
              <w:ind w:firstLine="0" w:firstLineChars="0"/>
              <w:jc w:val="center"/>
              <w:rPr>
                <w:sz w:val="21"/>
                <w:szCs w:val="21"/>
              </w:rPr>
            </w:pPr>
            <w:r>
              <w:rPr>
                <w:rFonts w:hint="eastAsia"/>
                <w:sz w:val="21"/>
                <w:szCs w:val="21"/>
              </w:rPr>
              <w:t>★</w:t>
            </w:r>
          </w:p>
        </w:tc>
        <w:tc>
          <w:tcPr>
            <w:tcW w:w="461" w:type="pct"/>
            <w:vAlign w:val="center"/>
          </w:tcPr>
          <w:p>
            <w:pPr>
              <w:spacing w:after="156" w:line="240" w:lineRule="auto"/>
              <w:ind w:firstLine="0" w:firstLineChars="0"/>
              <w:jc w:val="center"/>
              <w:rPr>
                <w:sz w:val="21"/>
                <w:szCs w:val="21"/>
              </w:rPr>
            </w:pPr>
            <w:r>
              <w:rPr>
                <w:rFonts w:hint="eastAsia"/>
                <w:sz w:val="21"/>
                <w:szCs w:val="21"/>
              </w:rPr>
              <w:t>▲</w:t>
            </w:r>
          </w:p>
        </w:tc>
        <w:tc>
          <w:tcPr>
            <w:tcW w:w="444" w:type="pct"/>
            <w:vAlign w:val="center"/>
          </w:tcPr>
          <w:p>
            <w:pPr>
              <w:spacing w:after="156" w:line="240" w:lineRule="auto"/>
              <w:ind w:firstLine="0" w:firstLineChars="0"/>
              <w:jc w:val="center"/>
              <w:rPr>
                <w:sz w:val="21"/>
                <w:szCs w:val="21"/>
              </w:rPr>
            </w:pPr>
            <w:r>
              <w:rPr>
                <w:rFonts w:hint="eastAsia"/>
                <w:sz w:val="21"/>
                <w:szCs w:val="21"/>
              </w:rPr>
              <w:t>★</w:t>
            </w:r>
          </w:p>
        </w:tc>
        <w:tc>
          <w:tcPr>
            <w:tcW w:w="540" w:type="pct"/>
            <w:vAlign w:val="center"/>
          </w:tcPr>
          <w:p>
            <w:pPr>
              <w:spacing w:after="156" w:line="240" w:lineRule="auto"/>
              <w:ind w:firstLine="0" w:firstLineChars="0"/>
              <w:jc w:val="center"/>
              <w:rPr>
                <w:sz w:val="21"/>
                <w:szCs w:val="21"/>
              </w:rPr>
            </w:pPr>
            <w:r>
              <w:rPr>
                <w:rFonts w:hint="eastAsia"/>
                <w:sz w:val="21"/>
                <w:szCs w:val="21"/>
              </w:rPr>
              <w:t>▲</w:t>
            </w:r>
          </w:p>
        </w:tc>
        <w:tc>
          <w:tcPr>
            <w:tcW w:w="386" w:type="pct"/>
            <w:vAlign w:val="center"/>
          </w:tcPr>
          <w:p>
            <w:pPr>
              <w:spacing w:after="156" w:line="240" w:lineRule="auto"/>
              <w:ind w:firstLine="0" w:firstLineChars="0"/>
              <w:jc w:val="center"/>
              <w:rPr>
                <w:sz w:val="21"/>
                <w:szCs w:val="21"/>
              </w:rPr>
            </w:pPr>
            <w:r>
              <w:rPr>
                <w:rFonts w:hint="eastAsia"/>
                <w:sz w:val="21"/>
                <w:szCs w:val="21"/>
              </w:rPr>
              <w:t>★</w:t>
            </w:r>
          </w:p>
        </w:tc>
        <w:tc>
          <w:tcPr>
            <w:tcW w:w="442" w:type="pct"/>
            <w:vAlign w:val="center"/>
          </w:tcPr>
          <w:p>
            <w:pPr>
              <w:spacing w:after="156" w:line="240" w:lineRule="auto"/>
              <w:ind w:firstLine="0" w:firstLineChars="0"/>
              <w:jc w:val="center"/>
              <w:rPr>
                <w:sz w:val="21"/>
                <w:szCs w:val="21"/>
              </w:rPr>
            </w:pPr>
            <w:r>
              <w:rPr>
                <w:rFonts w:hint="eastAsia"/>
                <w:sz w:val="21"/>
                <w:szCs w:val="21"/>
              </w:rPr>
              <w:t>★</w:t>
            </w:r>
          </w:p>
        </w:tc>
        <w:tc>
          <w:tcPr>
            <w:tcW w:w="381" w:type="pct"/>
            <w:vAlign w:val="center"/>
          </w:tcPr>
          <w:p>
            <w:pPr>
              <w:spacing w:after="156" w:line="240" w:lineRule="auto"/>
              <w:ind w:firstLine="0" w:firstLineChars="0"/>
              <w:jc w:val="center"/>
              <w:rPr>
                <w:sz w:val="21"/>
                <w:szCs w:val="21"/>
              </w:rPr>
            </w:pPr>
            <w:r>
              <w:rPr>
                <w:rFonts w:hint="eastAsia"/>
                <w:sz w:val="21"/>
                <w:szCs w:val="21"/>
              </w:rPr>
              <w:t>▲</w:t>
            </w:r>
          </w:p>
        </w:tc>
        <w:tc>
          <w:tcPr>
            <w:tcW w:w="464" w:type="pct"/>
            <w:vAlign w:val="center"/>
          </w:tcPr>
          <w:p>
            <w:pPr>
              <w:spacing w:after="156" w:line="240" w:lineRule="auto"/>
              <w:ind w:firstLine="0" w:firstLineChars="0"/>
              <w:jc w:val="center"/>
              <w:rPr>
                <w:sz w:val="21"/>
                <w:szCs w:val="21"/>
              </w:rPr>
            </w:pPr>
            <w:r>
              <w:rPr>
                <w:rFonts w:hint="eastAsia"/>
                <w:sz w:val="21"/>
                <w:szCs w:val="21"/>
              </w:rPr>
              <w:t>★</w:t>
            </w:r>
          </w:p>
        </w:tc>
        <w:tc>
          <w:tcPr>
            <w:tcW w:w="472" w:type="pct"/>
            <w:vAlign w:val="center"/>
          </w:tcPr>
          <w:p>
            <w:pPr>
              <w:spacing w:after="156" w:line="240" w:lineRule="auto"/>
              <w:ind w:firstLine="0" w:firstLineChars="0"/>
              <w:jc w:val="center"/>
              <w:rPr>
                <w:sz w:val="21"/>
                <w:szCs w:val="21"/>
              </w:rPr>
            </w:pPr>
            <w:r>
              <w:rPr>
                <w:rFonts w:hint="eastAsia"/>
                <w:sz w:val="21"/>
                <w:szCs w:val="21"/>
              </w:rPr>
              <w:t>▲</w:t>
            </w:r>
          </w:p>
        </w:tc>
      </w:tr>
      <w:bookmarkEnd w:id="77"/>
    </w:tbl>
    <w:p>
      <w:pPr>
        <w:spacing w:after="156"/>
        <w:ind w:firstLine="0" w:firstLineChars="0"/>
        <w:jc w:val="center"/>
        <w:rPr>
          <w:sz w:val="24"/>
        </w:rPr>
      </w:pPr>
      <w:r>
        <w:rPr>
          <w:rFonts w:hint="eastAsia"/>
          <w:sz w:val="24"/>
        </w:rPr>
        <w:t>备注：★应监测指标▲宜监测指标○可监测指标</w:t>
      </w:r>
    </w:p>
    <w:p>
      <w:pPr>
        <w:pStyle w:val="11"/>
        <w:spacing w:after="156"/>
      </w:pPr>
      <w:r>
        <w:rPr>
          <w:rFonts w:hint="eastAsia"/>
        </w:rPr>
        <w:t>表</w:t>
      </w:r>
      <w:r>
        <w:fldChar w:fldCharType="begin"/>
      </w:r>
      <w:r>
        <w:instrText xml:space="preserve"> </w:instrText>
      </w:r>
      <w:r>
        <w:rPr>
          <w:rFonts w:hint="eastAsia"/>
        </w:rPr>
        <w:instrText xml:space="preserve">STYLEREF 2 \s</w:instrText>
      </w:r>
      <w:r>
        <w:instrText xml:space="preserve"> </w:instrText>
      </w:r>
      <w:r>
        <w:fldChar w:fldCharType="separate"/>
      </w:r>
      <w:r>
        <w:t>7.5</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t>2</w:t>
      </w:r>
      <w:r>
        <w:fldChar w:fldCharType="end"/>
      </w:r>
      <w:bookmarkStart w:id="78" w:name="_Hlk163820654"/>
      <w:r>
        <w:rPr>
          <w:rFonts w:hint="eastAsia"/>
        </w:rPr>
        <w:t>桥梁监测对象及技术指标</w:t>
      </w:r>
    </w:p>
    <w:bookmarkEnd w:id="78"/>
    <w:tbl>
      <w:tblPr>
        <w:tblStyle w:val="2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42"/>
        <w:gridCol w:w="1484"/>
        <w:gridCol w:w="5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07" w:type="pct"/>
            <w:vAlign w:val="center"/>
          </w:tcPr>
          <w:p>
            <w:pPr>
              <w:spacing w:after="156" w:line="240" w:lineRule="auto"/>
              <w:ind w:firstLine="0" w:firstLineChars="0"/>
              <w:jc w:val="center"/>
              <w:rPr>
                <w:sz w:val="21"/>
                <w:szCs w:val="21"/>
              </w:rPr>
            </w:pPr>
            <w:bookmarkStart w:id="79" w:name="_Hlk163820638"/>
            <w:r>
              <w:rPr>
                <w:rFonts w:hint="eastAsia"/>
                <w:sz w:val="21"/>
                <w:szCs w:val="21"/>
              </w:rPr>
              <w:t>监测对象</w:t>
            </w:r>
          </w:p>
        </w:tc>
        <w:tc>
          <w:tcPr>
            <w:tcW w:w="892" w:type="pct"/>
            <w:vAlign w:val="center"/>
          </w:tcPr>
          <w:p>
            <w:pPr>
              <w:spacing w:after="156" w:line="240" w:lineRule="auto"/>
              <w:ind w:firstLine="0" w:firstLineChars="0"/>
              <w:jc w:val="center"/>
              <w:rPr>
                <w:sz w:val="21"/>
                <w:szCs w:val="21"/>
              </w:rPr>
            </w:pPr>
            <w:r>
              <w:rPr>
                <w:rFonts w:hint="eastAsia"/>
                <w:sz w:val="21"/>
                <w:szCs w:val="21"/>
              </w:rPr>
              <w:t>监测指标</w:t>
            </w:r>
          </w:p>
        </w:tc>
        <w:tc>
          <w:tcPr>
            <w:tcW w:w="3301" w:type="pct"/>
            <w:vAlign w:val="center"/>
          </w:tcPr>
          <w:p>
            <w:pPr>
              <w:spacing w:after="156" w:line="240" w:lineRule="auto"/>
              <w:ind w:firstLine="0" w:firstLineChars="0"/>
              <w:jc w:val="center"/>
              <w:rPr>
                <w:sz w:val="21"/>
                <w:szCs w:val="21"/>
              </w:rPr>
            </w:pPr>
            <w:r>
              <w:rPr>
                <w:rFonts w:hint="eastAsia"/>
                <w:sz w:val="21"/>
                <w:szCs w:val="21"/>
              </w:rPr>
              <w:t>监测设备技术要求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6" w:hRule="atLeast"/>
        </w:trPr>
        <w:tc>
          <w:tcPr>
            <w:tcW w:w="807" w:type="pct"/>
            <w:vMerge w:val="restart"/>
            <w:vAlign w:val="center"/>
          </w:tcPr>
          <w:p>
            <w:pPr>
              <w:spacing w:after="156" w:line="240" w:lineRule="auto"/>
              <w:ind w:firstLine="0" w:firstLineChars="0"/>
              <w:rPr>
                <w:sz w:val="21"/>
                <w:szCs w:val="21"/>
              </w:rPr>
            </w:pPr>
            <w:r>
              <w:rPr>
                <w:rFonts w:hint="eastAsia"/>
                <w:sz w:val="21"/>
                <w:szCs w:val="21"/>
              </w:rPr>
              <w:t>桥梁结构</w:t>
            </w:r>
          </w:p>
        </w:tc>
        <w:tc>
          <w:tcPr>
            <w:tcW w:w="892" w:type="pct"/>
            <w:vAlign w:val="center"/>
          </w:tcPr>
          <w:p>
            <w:pPr>
              <w:spacing w:after="156" w:line="240" w:lineRule="auto"/>
              <w:ind w:firstLine="0" w:firstLineChars="0"/>
              <w:rPr>
                <w:sz w:val="21"/>
                <w:szCs w:val="21"/>
              </w:rPr>
            </w:pPr>
            <w:r>
              <w:rPr>
                <w:rFonts w:hint="eastAsia"/>
                <w:sz w:val="21"/>
                <w:szCs w:val="21"/>
              </w:rPr>
              <w:t>倾角</w:t>
            </w:r>
          </w:p>
        </w:tc>
        <w:tc>
          <w:tcPr>
            <w:tcW w:w="3301" w:type="pct"/>
            <w:vAlign w:val="center"/>
          </w:tcPr>
          <w:p>
            <w:pPr>
              <w:spacing w:after="156" w:line="240" w:lineRule="auto"/>
              <w:ind w:firstLine="0" w:firstLineChars="0"/>
              <w:rPr>
                <w:sz w:val="21"/>
                <w:szCs w:val="21"/>
              </w:rPr>
            </w:pPr>
            <w:r>
              <w:rPr>
                <w:rFonts w:hint="eastAsia"/>
                <w:sz w:val="21"/>
                <w:szCs w:val="21"/>
              </w:rPr>
              <w:t>标准量程：±15°</w:t>
            </w:r>
          </w:p>
          <w:p>
            <w:pPr>
              <w:spacing w:after="156" w:line="240" w:lineRule="auto"/>
              <w:ind w:firstLine="0" w:firstLineChars="0"/>
              <w:rPr>
                <w:sz w:val="21"/>
                <w:szCs w:val="21"/>
              </w:rPr>
            </w:pPr>
            <w:r>
              <w:rPr>
                <w:rFonts w:hint="eastAsia"/>
                <w:sz w:val="21"/>
                <w:szCs w:val="21"/>
              </w:rPr>
              <w:t>精度：±0.08°</w:t>
            </w:r>
          </w:p>
          <w:p>
            <w:pPr>
              <w:spacing w:after="156" w:line="240" w:lineRule="auto"/>
              <w:ind w:firstLine="0" w:firstLineChars="0"/>
              <w:rPr>
                <w:sz w:val="21"/>
                <w:szCs w:val="21"/>
              </w:rPr>
            </w:pPr>
            <w:r>
              <w:rPr>
                <w:rFonts w:hint="eastAsia"/>
                <w:sz w:val="21"/>
                <w:szCs w:val="21"/>
              </w:rPr>
              <w:t>分辨率：0.0001°</w:t>
            </w:r>
          </w:p>
          <w:p>
            <w:pPr>
              <w:spacing w:after="156" w:line="240" w:lineRule="auto"/>
              <w:ind w:firstLine="0" w:firstLineChars="0"/>
              <w:rPr>
                <w:sz w:val="21"/>
                <w:szCs w:val="21"/>
              </w:rPr>
            </w:pPr>
            <w:r>
              <w:rPr>
                <w:rFonts w:hint="eastAsia"/>
                <w:sz w:val="21"/>
                <w:szCs w:val="21"/>
              </w:rPr>
              <w:t>使用寿命：不少于5年</w:t>
            </w:r>
          </w:p>
          <w:p>
            <w:pPr>
              <w:spacing w:after="156" w:line="240" w:lineRule="auto"/>
              <w:ind w:firstLine="0" w:firstLineChars="0"/>
              <w:rPr>
                <w:sz w:val="21"/>
                <w:szCs w:val="21"/>
              </w:rPr>
            </w:pPr>
            <w:r>
              <w:rPr>
                <w:rFonts w:hint="eastAsia"/>
                <w:sz w:val="21"/>
                <w:szCs w:val="21"/>
              </w:rPr>
              <w:t>环境适用性：应具有防腐、防水等抗恶劣环境性能防护等级：IP67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9" w:hRule="atLeast"/>
        </w:trPr>
        <w:tc>
          <w:tcPr>
            <w:tcW w:w="807" w:type="pct"/>
            <w:vMerge w:val="continue"/>
            <w:vAlign w:val="center"/>
          </w:tcPr>
          <w:p>
            <w:pPr>
              <w:spacing w:after="156" w:line="240" w:lineRule="auto"/>
              <w:ind w:firstLine="0" w:firstLineChars="0"/>
              <w:rPr>
                <w:sz w:val="21"/>
                <w:szCs w:val="21"/>
              </w:rPr>
            </w:pPr>
          </w:p>
        </w:tc>
        <w:tc>
          <w:tcPr>
            <w:tcW w:w="892" w:type="pct"/>
            <w:vAlign w:val="center"/>
          </w:tcPr>
          <w:p>
            <w:pPr>
              <w:spacing w:after="156" w:line="240" w:lineRule="auto"/>
              <w:ind w:firstLine="0" w:firstLineChars="0"/>
              <w:rPr>
                <w:sz w:val="21"/>
                <w:szCs w:val="21"/>
              </w:rPr>
            </w:pPr>
            <w:r>
              <w:rPr>
                <w:rFonts w:hint="eastAsia"/>
                <w:sz w:val="21"/>
                <w:szCs w:val="21"/>
              </w:rPr>
              <w:t>位移</w:t>
            </w:r>
          </w:p>
        </w:tc>
        <w:tc>
          <w:tcPr>
            <w:tcW w:w="3301" w:type="pct"/>
            <w:vAlign w:val="center"/>
          </w:tcPr>
          <w:p>
            <w:pPr>
              <w:spacing w:after="156" w:line="240" w:lineRule="auto"/>
              <w:ind w:firstLine="0" w:firstLineChars="0"/>
              <w:rPr>
                <w:sz w:val="21"/>
                <w:szCs w:val="21"/>
              </w:rPr>
            </w:pPr>
            <w:r>
              <w:rPr>
                <w:rFonts w:hint="eastAsia"/>
                <w:sz w:val="21"/>
                <w:szCs w:val="21"/>
              </w:rPr>
              <w:t>量程：（0～±750）mm或根据桥梁设计最大位移2倍值确定</w:t>
            </w:r>
          </w:p>
          <w:p>
            <w:pPr>
              <w:spacing w:after="156" w:line="240" w:lineRule="auto"/>
              <w:ind w:firstLine="0" w:firstLineChars="0"/>
              <w:rPr>
                <w:sz w:val="21"/>
                <w:szCs w:val="21"/>
                <w:lang w:eastAsia="en-US"/>
              </w:rPr>
            </w:pPr>
            <w:r>
              <w:rPr>
                <w:rFonts w:hint="eastAsia"/>
                <w:sz w:val="21"/>
                <w:szCs w:val="21"/>
                <w:lang w:eastAsia="en-US"/>
              </w:rPr>
              <w:t>精度：0.1%FS</w:t>
            </w:r>
          </w:p>
          <w:p>
            <w:pPr>
              <w:spacing w:after="156" w:line="240" w:lineRule="auto"/>
              <w:ind w:firstLine="0" w:firstLineChars="0"/>
              <w:rPr>
                <w:sz w:val="21"/>
                <w:szCs w:val="21"/>
                <w:lang w:eastAsia="en-US"/>
              </w:rPr>
            </w:pPr>
            <w:r>
              <w:rPr>
                <w:rFonts w:hint="eastAsia"/>
                <w:sz w:val="21"/>
                <w:szCs w:val="21"/>
                <w:lang w:eastAsia="en-US"/>
              </w:rPr>
              <w:t>分辨率：0.01mm</w:t>
            </w:r>
          </w:p>
          <w:p>
            <w:pPr>
              <w:spacing w:after="156" w:line="240" w:lineRule="auto"/>
              <w:ind w:firstLine="0" w:firstLineChars="0"/>
              <w:rPr>
                <w:sz w:val="21"/>
                <w:szCs w:val="21"/>
              </w:rPr>
            </w:pPr>
            <w:r>
              <w:rPr>
                <w:rFonts w:hint="eastAsia"/>
                <w:sz w:val="21"/>
                <w:szCs w:val="21"/>
              </w:rPr>
              <w:t>使用寿命：不少于5年</w:t>
            </w:r>
          </w:p>
          <w:p>
            <w:pPr>
              <w:spacing w:after="156" w:line="240" w:lineRule="auto"/>
              <w:ind w:firstLine="0" w:firstLineChars="0"/>
              <w:rPr>
                <w:sz w:val="21"/>
                <w:szCs w:val="21"/>
              </w:rPr>
            </w:pPr>
            <w:r>
              <w:rPr>
                <w:rFonts w:hint="eastAsia"/>
                <w:sz w:val="21"/>
                <w:szCs w:val="21"/>
              </w:rPr>
              <w:t>环境适用性：应具有防腐、防水等抗恶劣环境性能</w:t>
            </w:r>
          </w:p>
          <w:p>
            <w:pPr>
              <w:spacing w:after="156" w:line="240" w:lineRule="auto"/>
              <w:ind w:firstLine="0" w:firstLineChars="0"/>
              <w:rPr>
                <w:sz w:val="21"/>
                <w:szCs w:val="21"/>
                <w:lang w:eastAsia="en-US"/>
              </w:rPr>
            </w:pPr>
            <w:r>
              <w:rPr>
                <w:rFonts w:hint="eastAsia"/>
                <w:sz w:val="21"/>
                <w:szCs w:val="21"/>
                <w:lang w:eastAsia="en-US"/>
              </w:rPr>
              <w:t>防护等级：IP67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6" w:hRule="atLeast"/>
        </w:trPr>
        <w:tc>
          <w:tcPr>
            <w:tcW w:w="807" w:type="pct"/>
            <w:vMerge w:val="continue"/>
            <w:vAlign w:val="center"/>
          </w:tcPr>
          <w:p>
            <w:pPr>
              <w:spacing w:after="156" w:line="240" w:lineRule="auto"/>
              <w:ind w:firstLine="0" w:firstLineChars="0"/>
              <w:rPr>
                <w:sz w:val="21"/>
                <w:szCs w:val="21"/>
              </w:rPr>
            </w:pPr>
          </w:p>
        </w:tc>
        <w:tc>
          <w:tcPr>
            <w:tcW w:w="892" w:type="pct"/>
            <w:vAlign w:val="center"/>
          </w:tcPr>
          <w:p>
            <w:pPr>
              <w:spacing w:after="156" w:line="240" w:lineRule="auto"/>
              <w:ind w:firstLine="0" w:firstLineChars="0"/>
              <w:rPr>
                <w:sz w:val="21"/>
                <w:szCs w:val="21"/>
              </w:rPr>
            </w:pPr>
            <w:r>
              <w:rPr>
                <w:rFonts w:hint="eastAsia"/>
                <w:sz w:val="21"/>
                <w:szCs w:val="21"/>
              </w:rPr>
              <w:t>裂缝宽度</w:t>
            </w:r>
          </w:p>
        </w:tc>
        <w:tc>
          <w:tcPr>
            <w:tcW w:w="3301" w:type="pct"/>
            <w:vAlign w:val="center"/>
          </w:tcPr>
          <w:p>
            <w:pPr>
              <w:spacing w:after="156" w:line="240" w:lineRule="auto"/>
              <w:ind w:firstLine="0" w:firstLineChars="0"/>
              <w:rPr>
                <w:sz w:val="21"/>
                <w:szCs w:val="21"/>
                <w:lang w:eastAsia="en-US"/>
              </w:rPr>
            </w:pPr>
            <w:r>
              <w:rPr>
                <w:rFonts w:hint="eastAsia"/>
                <w:sz w:val="21"/>
                <w:szCs w:val="21"/>
                <w:lang w:eastAsia="en-US"/>
              </w:rPr>
              <w:t>精度：±0.01mm</w:t>
            </w:r>
          </w:p>
          <w:p>
            <w:pPr>
              <w:spacing w:after="156" w:line="240" w:lineRule="auto"/>
              <w:ind w:firstLine="0" w:firstLineChars="0"/>
              <w:rPr>
                <w:sz w:val="21"/>
                <w:szCs w:val="21"/>
                <w:lang w:eastAsia="en-US"/>
              </w:rPr>
            </w:pPr>
            <w:r>
              <w:rPr>
                <w:rFonts w:hint="eastAsia"/>
                <w:sz w:val="21"/>
                <w:szCs w:val="21"/>
                <w:lang w:eastAsia="en-US"/>
              </w:rPr>
              <w:t>分辨率：0.025%FS</w:t>
            </w:r>
          </w:p>
          <w:p>
            <w:pPr>
              <w:spacing w:after="156" w:line="240" w:lineRule="auto"/>
              <w:ind w:firstLine="0" w:firstLineChars="0"/>
              <w:rPr>
                <w:sz w:val="21"/>
                <w:szCs w:val="21"/>
              </w:rPr>
            </w:pPr>
            <w:r>
              <w:rPr>
                <w:rFonts w:hint="eastAsia"/>
                <w:sz w:val="21"/>
                <w:szCs w:val="21"/>
              </w:rPr>
              <w:t>使用寿命：不少于5年</w:t>
            </w:r>
          </w:p>
          <w:p>
            <w:pPr>
              <w:spacing w:after="156" w:line="240" w:lineRule="auto"/>
              <w:ind w:firstLine="0" w:firstLineChars="0"/>
              <w:rPr>
                <w:sz w:val="21"/>
                <w:szCs w:val="21"/>
              </w:rPr>
            </w:pPr>
            <w:r>
              <w:rPr>
                <w:rFonts w:hint="eastAsia"/>
                <w:sz w:val="21"/>
                <w:szCs w:val="21"/>
              </w:rPr>
              <w:t>环境适用性：应具有防腐、防水等抗恶劣环境性能防护等级：IP67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5" w:hRule="atLeast"/>
        </w:trPr>
        <w:tc>
          <w:tcPr>
            <w:tcW w:w="807" w:type="pct"/>
            <w:vMerge w:val="continue"/>
            <w:vAlign w:val="center"/>
          </w:tcPr>
          <w:p>
            <w:pPr>
              <w:spacing w:after="156" w:line="240" w:lineRule="auto"/>
              <w:ind w:firstLine="0" w:firstLineChars="0"/>
              <w:rPr>
                <w:sz w:val="21"/>
                <w:szCs w:val="21"/>
              </w:rPr>
            </w:pPr>
          </w:p>
        </w:tc>
        <w:tc>
          <w:tcPr>
            <w:tcW w:w="892" w:type="pct"/>
            <w:vAlign w:val="center"/>
          </w:tcPr>
          <w:p>
            <w:pPr>
              <w:spacing w:after="156" w:line="240" w:lineRule="auto"/>
              <w:ind w:firstLine="0" w:firstLineChars="0"/>
              <w:rPr>
                <w:sz w:val="21"/>
                <w:szCs w:val="21"/>
              </w:rPr>
            </w:pPr>
            <w:r>
              <w:rPr>
                <w:rFonts w:hint="eastAsia"/>
                <w:sz w:val="21"/>
                <w:szCs w:val="21"/>
              </w:rPr>
              <w:t>静应变</w:t>
            </w:r>
          </w:p>
        </w:tc>
        <w:tc>
          <w:tcPr>
            <w:tcW w:w="3301" w:type="pct"/>
            <w:vAlign w:val="center"/>
          </w:tcPr>
          <w:p>
            <w:pPr>
              <w:spacing w:after="156" w:line="240" w:lineRule="auto"/>
              <w:ind w:firstLine="0" w:firstLineChars="0"/>
              <w:rPr>
                <w:sz w:val="21"/>
                <w:szCs w:val="21"/>
              </w:rPr>
            </w:pPr>
            <w:r>
              <w:rPr>
                <w:rFonts w:hint="eastAsia"/>
                <w:sz w:val="21"/>
                <w:szCs w:val="21"/>
              </w:rPr>
              <w:t>测量范围：±1,500</w:t>
            </w:r>
            <w:r>
              <w:rPr>
                <w:rFonts w:cs="TimesNewRomanPSMT"/>
                <w:color w:val="000000"/>
                <w:sz w:val="21"/>
                <w:szCs w:val="21"/>
                <w:lang w:eastAsia="en-US"/>
              </w:rPr>
              <w:t>με</w:t>
            </w:r>
          </w:p>
          <w:p>
            <w:pPr>
              <w:spacing w:after="156" w:line="240" w:lineRule="auto"/>
              <w:ind w:firstLine="0" w:firstLineChars="0"/>
              <w:rPr>
                <w:sz w:val="21"/>
                <w:szCs w:val="21"/>
              </w:rPr>
            </w:pPr>
            <w:r>
              <w:rPr>
                <w:rFonts w:hint="eastAsia"/>
                <w:sz w:val="21"/>
                <w:szCs w:val="21"/>
              </w:rPr>
              <w:t>精度：±2</w:t>
            </w:r>
            <w:r>
              <w:rPr>
                <w:rFonts w:cs="TimesNewRomanPSMT"/>
                <w:color w:val="000000"/>
                <w:sz w:val="21"/>
                <w:szCs w:val="21"/>
                <w:lang w:eastAsia="en-US"/>
              </w:rPr>
              <w:t>με</w:t>
            </w:r>
          </w:p>
          <w:p>
            <w:pPr>
              <w:spacing w:after="156" w:line="240" w:lineRule="auto"/>
              <w:ind w:firstLine="0" w:firstLineChars="0"/>
              <w:rPr>
                <w:sz w:val="21"/>
                <w:szCs w:val="21"/>
              </w:rPr>
            </w:pPr>
            <w:r>
              <w:rPr>
                <w:rFonts w:hint="eastAsia"/>
                <w:sz w:val="21"/>
                <w:szCs w:val="21"/>
              </w:rPr>
              <w:t>分辨率：0.1</w:t>
            </w:r>
            <w:r>
              <w:rPr>
                <w:rFonts w:cs="TimesNewRomanPSMT"/>
                <w:color w:val="000000"/>
                <w:sz w:val="21"/>
                <w:szCs w:val="21"/>
                <w:lang w:eastAsia="en-US"/>
              </w:rPr>
              <w:t>με</w:t>
            </w:r>
          </w:p>
          <w:p>
            <w:pPr>
              <w:spacing w:after="156" w:line="240" w:lineRule="auto"/>
              <w:ind w:firstLine="0" w:firstLineChars="0"/>
              <w:rPr>
                <w:sz w:val="21"/>
                <w:szCs w:val="21"/>
              </w:rPr>
            </w:pPr>
            <w:r>
              <w:rPr>
                <w:rFonts w:hint="eastAsia"/>
                <w:spacing w:val="-1"/>
                <w:sz w:val="21"/>
                <w:szCs w:val="21"/>
              </w:rPr>
              <w:t>工作温度：</w:t>
            </w:r>
            <w:r>
              <w:rPr>
                <w:rFonts w:hint="eastAsia"/>
                <w:sz w:val="21"/>
                <w:szCs w:val="21"/>
              </w:rPr>
              <w:t>-20℃~70℃</w:t>
            </w:r>
          </w:p>
          <w:p>
            <w:pPr>
              <w:spacing w:after="156" w:line="240" w:lineRule="auto"/>
              <w:ind w:firstLine="0" w:firstLineChars="0"/>
              <w:rPr>
                <w:sz w:val="21"/>
                <w:szCs w:val="21"/>
              </w:rPr>
            </w:pPr>
            <w:r>
              <w:rPr>
                <w:rFonts w:hint="eastAsia"/>
                <w:sz w:val="21"/>
                <w:szCs w:val="21"/>
              </w:rPr>
              <w:t>使用寿命：不少于5年</w:t>
            </w:r>
          </w:p>
          <w:p>
            <w:pPr>
              <w:spacing w:after="156" w:line="240" w:lineRule="auto"/>
              <w:ind w:firstLine="0" w:firstLineChars="0"/>
              <w:rPr>
                <w:sz w:val="21"/>
                <w:szCs w:val="21"/>
              </w:rPr>
            </w:pPr>
            <w:r>
              <w:rPr>
                <w:rFonts w:hint="eastAsia"/>
                <w:sz w:val="21"/>
                <w:szCs w:val="21"/>
              </w:rPr>
              <w:t>环境适用性：应具有防腐、防水等抗恶劣环境性能</w:t>
            </w:r>
          </w:p>
          <w:p>
            <w:pPr>
              <w:spacing w:after="156" w:line="240" w:lineRule="auto"/>
              <w:ind w:firstLine="0" w:firstLineChars="0"/>
              <w:rPr>
                <w:sz w:val="21"/>
                <w:szCs w:val="21"/>
                <w:lang w:eastAsia="en-US"/>
              </w:rPr>
            </w:pPr>
            <w:r>
              <w:rPr>
                <w:rFonts w:hint="eastAsia"/>
                <w:sz w:val="21"/>
                <w:szCs w:val="21"/>
                <w:lang w:eastAsia="en-US"/>
              </w:rPr>
              <w:t>防护等级：IP67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07" w:type="pct"/>
            <w:vMerge w:val="continue"/>
            <w:vAlign w:val="center"/>
          </w:tcPr>
          <w:p>
            <w:pPr>
              <w:spacing w:after="156" w:line="240" w:lineRule="auto"/>
              <w:ind w:firstLine="0" w:firstLineChars="0"/>
              <w:rPr>
                <w:sz w:val="21"/>
                <w:szCs w:val="21"/>
              </w:rPr>
            </w:pPr>
          </w:p>
        </w:tc>
        <w:tc>
          <w:tcPr>
            <w:tcW w:w="892" w:type="pct"/>
            <w:vAlign w:val="center"/>
          </w:tcPr>
          <w:p>
            <w:pPr>
              <w:spacing w:after="156" w:line="240" w:lineRule="auto"/>
              <w:ind w:firstLine="0" w:firstLineChars="0"/>
              <w:rPr>
                <w:sz w:val="21"/>
                <w:szCs w:val="21"/>
              </w:rPr>
            </w:pPr>
            <w:r>
              <w:rPr>
                <w:rFonts w:hint="eastAsia"/>
                <w:sz w:val="21"/>
                <w:szCs w:val="21"/>
              </w:rPr>
              <w:t>索力</w:t>
            </w:r>
          </w:p>
        </w:tc>
        <w:tc>
          <w:tcPr>
            <w:tcW w:w="3301" w:type="pct"/>
            <w:vAlign w:val="center"/>
          </w:tcPr>
          <w:p>
            <w:pPr>
              <w:spacing w:after="156" w:line="240" w:lineRule="auto"/>
              <w:ind w:firstLine="0" w:firstLineChars="0"/>
              <w:rPr>
                <w:sz w:val="21"/>
                <w:szCs w:val="21"/>
                <w:lang w:eastAsia="en-US"/>
              </w:rPr>
            </w:pPr>
            <w:r>
              <w:rPr>
                <w:rFonts w:hint="eastAsia"/>
                <w:sz w:val="21"/>
                <w:szCs w:val="21"/>
                <w:lang w:eastAsia="en-US"/>
              </w:rPr>
              <w:t>量程：（0</w:t>
            </w:r>
            <w:r>
              <w:rPr>
                <w:rFonts w:hint="eastAsia"/>
                <w:sz w:val="21"/>
                <w:szCs w:val="21"/>
              </w:rPr>
              <w:t>～</w:t>
            </w:r>
            <w:r>
              <w:rPr>
                <w:rFonts w:hint="eastAsia"/>
                <w:sz w:val="21"/>
                <w:szCs w:val="21"/>
                <w:lang w:eastAsia="en-US"/>
              </w:rPr>
              <w:t>10,000）kN</w:t>
            </w:r>
          </w:p>
          <w:p>
            <w:pPr>
              <w:spacing w:after="156" w:line="240" w:lineRule="auto"/>
              <w:ind w:firstLine="0" w:firstLineChars="0"/>
              <w:rPr>
                <w:sz w:val="21"/>
                <w:szCs w:val="21"/>
                <w:lang w:eastAsia="en-US"/>
              </w:rPr>
            </w:pPr>
            <w:r>
              <w:rPr>
                <w:rFonts w:hint="eastAsia"/>
                <w:sz w:val="21"/>
                <w:szCs w:val="21"/>
                <w:lang w:eastAsia="en-US"/>
              </w:rPr>
              <w:t>精度：0.1%FS</w:t>
            </w:r>
          </w:p>
          <w:p>
            <w:pPr>
              <w:spacing w:after="156" w:line="240" w:lineRule="auto"/>
              <w:ind w:firstLine="0" w:firstLineChars="0"/>
              <w:rPr>
                <w:sz w:val="21"/>
                <w:szCs w:val="21"/>
              </w:rPr>
            </w:pPr>
            <w:r>
              <w:rPr>
                <w:rFonts w:hint="eastAsia"/>
                <w:sz w:val="21"/>
                <w:szCs w:val="21"/>
              </w:rPr>
              <w:t>分辨率：0.07%FS</w:t>
            </w:r>
          </w:p>
          <w:p>
            <w:pPr>
              <w:spacing w:after="156" w:line="240" w:lineRule="auto"/>
              <w:ind w:firstLine="0" w:firstLineChars="0"/>
              <w:rPr>
                <w:sz w:val="21"/>
                <w:szCs w:val="21"/>
              </w:rPr>
            </w:pPr>
            <w:r>
              <w:rPr>
                <w:rFonts w:hint="eastAsia"/>
                <w:sz w:val="21"/>
                <w:szCs w:val="21"/>
              </w:rPr>
              <w:t>使用寿命：不少于5年</w:t>
            </w:r>
          </w:p>
          <w:p>
            <w:pPr>
              <w:spacing w:after="156" w:line="240" w:lineRule="auto"/>
              <w:ind w:firstLine="0" w:firstLineChars="0"/>
              <w:rPr>
                <w:sz w:val="21"/>
                <w:szCs w:val="21"/>
              </w:rPr>
            </w:pPr>
            <w:r>
              <w:rPr>
                <w:rFonts w:hint="eastAsia"/>
                <w:sz w:val="21"/>
                <w:szCs w:val="21"/>
              </w:rPr>
              <w:t>环境适用性：应具有防腐、防水等抗恶劣环境性能</w:t>
            </w:r>
          </w:p>
          <w:p>
            <w:pPr>
              <w:spacing w:after="156" w:line="240" w:lineRule="auto"/>
              <w:ind w:firstLine="0" w:firstLineChars="0"/>
              <w:rPr>
                <w:sz w:val="21"/>
                <w:szCs w:val="21"/>
                <w:lang w:eastAsia="en-US"/>
              </w:rPr>
            </w:pPr>
            <w:r>
              <w:rPr>
                <w:rFonts w:hint="eastAsia"/>
                <w:sz w:val="21"/>
                <w:szCs w:val="21"/>
                <w:lang w:eastAsia="en-US"/>
              </w:rPr>
              <w:t>防护等级：IP67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trPr>
        <w:tc>
          <w:tcPr>
            <w:tcW w:w="807" w:type="pct"/>
            <w:vMerge w:val="continue"/>
            <w:vAlign w:val="center"/>
          </w:tcPr>
          <w:p>
            <w:pPr>
              <w:spacing w:after="156" w:line="240" w:lineRule="auto"/>
              <w:ind w:firstLine="0" w:firstLineChars="0"/>
              <w:rPr>
                <w:sz w:val="21"/>
                <w:szCs w:val="21"/>
              </w:rPr>
            </w:pPr>
          </w:p>
        </w:tc>
        <w:tc>
          <w:tcPr>
            <w:tcW w:w="892" w:type="pct"/>
            <w:vAlign w:val="center"/>
          </w:tcPr>
          <w:p>
            <w:pPr>
              <w:spacing w:after="156" w:line="240" w:lineRule="auto"/>
              <w:ind w:firstLine="0" w:firstLineChars="0"/>
              <w:rPr>
                <w:sz w:val="21"/>
                <w:szCs w:val="21"/>
              </w:rPr>
            </w:pPr>
            <w:r>
              <w:rPr>
                <w:rFonts w:hint="eastAsia"/>
                <w:sz w:val="21"/>
                <w:szCs w:val="21"/>
              </w:rPr>
              <w:t>加速度</w:t>
            </w:r>
          </w:p>
          <w:p>
            <w:pPr>
              <w:spacing w:after="156" w:line="240" w:lineRule="auto"/>
              <w:ind w:firstLine="0" w:firstLineChars="0"/>
              <w:rPr>
                <w:sz w:val="21"/>
                <w:szCs w:val="21"/>
              </w:rPr>
            </w:pPr>
            <w:r>
              <w:rPr>
                <w:rFonts w:hint="eastAsia"/>
                <w:sz w:val="21"/>
                <w:szCs w:val="21"/>
              </w:rPr>
              <w:t>（整体）</w:t>
            </w:r>
          </w:p>
          <w:p>
            <w:pPr>
              <w:spacing w:after="156" w:line="240" w:lineRule="auto"/>
              <w:ind w:firstLine="0" w:firstLineChars="0"/>
              <w:rPr>
                <w:sz w:val="21"/>
                <w:szCs w:val="21"/>
              </w:rPr>
            </w:pPr>
            <w:r>
              <w:rPr>
                <w:rFonts w:hint="eastAsia"/>
                <w:sz w:val="21"/>
                <w:szCs w:val="21"/>
              </w:rPr>
              <w:t>主要用于测</w:t>
            </w:r>
          </w:p>
          <w:p>
            <w:pPr>
              <w:spacing w:after="156" w:line="240" w:lineRule="auto"/>
              <w:ind w:firstLine="0" w:firstLineChars="0"/>
              <w:rPr>
                <w:sz w:val="21"/>
                <w:szCs w:val="21"/>
              </w:rPr>
            </w:pPr>
            <w:r>
              <w:rPr>
                <w:rFonts w:hint="eastAsia"/>
                <w:sz w:val="21"/>
                <w:szCs w:val="21"/>
              </w:rPr>
              <w:t>量结构的整</w:t>
            </w:r>
          </w:p>
          <w:p>
            <w:pPr>
              <w:spacing w:after="156" w:line="240" w:lineRule="auto"/>
              <w:ind w:firstLine="0" w:firstLineChars="0"/>
              <w:rPr>
                <w:sz w:val="21"/>
                <w:szCs w:val="21"/>
              </w:rPr>
            </w:pPr>
            <w:r>
              <w:rPr>
                <w:rFonts w:hint="eastAsia"/>
                <w:sz w:val="21"/>
                <w:szCs w:val="21"/>
              </w:rPr>
              <w:t>体模态，应</w:t>
            </w:r>
          </w:p>
          <w:p>
            <w:pPr>
              <w:spacing w:after="156" w:line="240" w:lineRule="auto"/>
              <w:ind w:firstLine="0" w:firstLineChars="0"/>
              <w:rPr>
                <w:sz w:val="21"/>
                <w:szCs w:val="21"/>
              </w:rPr>
            </w:pPr>
            <w:r>
              <w:rPr>
                <w:rFonts w:hint="eastAsia"/>
                <w:sz w:val="21"/>
                <w:szCs w:val="21"/>
              </w:rPr>
              <w:t>采用超低频</w:t>
            </w:r>
          </w:p>
          <w:p>
            <w:pPr>
              <w:spacing w:after="156" w:line="240" w:lineRule="auto"/>
              <w:ind w:firstLine="0" w:firstLineChars="0"/>
              <w:rPr>
                <w:sz w:val="21"/>
                <w:szCs w:val="21"/>
              </w:rPr>
            </w:pPr>
            <w:r>
              <w:rPr>
                <w:rFonts w:hint="eastAsia"/>
                <w:sz w:val="21"/>
                <w:szCs w:val="21"/>
              </w:rPr>
              <w:t>或低频传感</w:t>
            </w:r>
          </w:p>
          <w:p>
            <w:pPr>
              <w:spacing w:after="156" w:line="240" w:lineRule="auto"/>
              <w:ind w:firstLine="0" w:firstLineChars="0"/>
              <w:rPr>
                <w:sz w:val="21"/>
                <w:szCs w:val="21"/>
              </w:rPr>
            </w:pPr>
            <w:r>
              <w:rPr>
                <w:rFonts w:hint="eastAsia"/>
                <w:sz w:val="21"/>
                <w:szCs w:val="21"/>
              </w:rPr>
              <w:t>器。</w:t>
            </w:r>
          </w:p>
        </w:tc>
        <w:tc>
          <w:tcPr>
            <w:tcW w:w="3301" w:type="pct"/>
            <w:vAlign w:val="center"/>
          </w:tcPr>
          <w:p>
            <w:pPr>
              <w:spacing w:after="156" w:line="240" w:lineRule="auto"/>
              <w:ind w:firstLine="0" w:firstLineChars="0"/>
              <w:rPr>
                <w:sz w:val="21"/>
                <w:szCs w:val="21"/>
              </w:rPr>
            </w:pPr>
            <w:r>
              <w:rPr>
                <w:rFonts w:hint="eastAsia"/>
                <w:sz w:val="21"/>
                <w:szCs w:val="21"/>
              </w:rPr>
              <w:t>量程：±2g</w:t>
            </w:r>
          </w:p>
          <w:p>
            <w:pPr>
              <w:spacing w:after="156" w:line="240" w:lineRule="auto"/>
              <w:ind w:firstLine="0" w:firstLineChars="0"/>
              <w:rPr>
                <w:sz w:val="21"/>
                <w:szCs w:val="21"/>
              </w:rPr>
            </w:pPr>
            <w:r>
              <w:rPr>
                <w:rFonts w:hint="eastAsia"/>
                <w:sz w:val="21"/>
                <w:szCs w:val="21"/>
              </w:rPr>
              <w:t>横向灵敏度：1%</w:t>
            </w:r>
          </w:p>
          <w:p>
            <w:pPr>
              <w:spacing w:after="156" w:line="240" w:lineRule="auto"/>
              <w:ind w:firstLine="0" w:firstLineChars="0"/>
              <w:rPr>
                <w:sz w:val="21"/>
                <w:szCs w:val="21"/>
              </w:rPr>
            </w:pPr>
            <w:r>
              <w:rPr>
                <w:rFonts w:hint="eastAsia"/>
                <w:sz w:val="21"/>
                <w:szCs w:val="21"/>
              </w:rPr>
              <w:t>使用寿命：不少于5年</w:t>
            </w:r>
          </w:p>
          <w:p>
            <w:pPr>
              <w:spacing w:after="156" w:line="240" w:lineRule="auto"/>
              <w:ind w:firstLine="0" w:firstLineChars="0"/>
              <w:rPr>
                <w:sz w:val="21"/>
                <w:szCs w:val="21"/>
              </w:rPr>
            </w:pPr>
            <w:r>
              <w:rPr>
                <w:rFonts w:hint="eastAsia"/>
                <w:sz w:val="21"/>
                <w:szCs w:val="21"/>
              </w:rPr>
              <w:t>环境适用性：应具有防腐、防水等抗恶劣环境性能防护等级：IP67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1" w:hRule="atLeast"/>
        </w:trPr>
        <w:tc>
          <w:tcPr>
            <w:tcW w:w="807" w:type="pct"/>
            <w:vMerge w:val="continue"/>
            <w:vAlign w:val="center"/>
          </w:tcPr>
          <w:p>
            <w:pPr>
              <w:spacing w:after="156" w:line="240" w:lineRule="auto"/>
              <w:ind w:firstLine="0" w:firstLineChars="0"/>
              <w:rPr>
                <w:sz w:val="21"/>
                <w:szCs w:val="21"/>
              </w:rPr>
            </w:pPr>
          </w:p>
        </w:tc>
        <w:tc>
          <w:tcPr>
            <w:tcW w:w="892" w:type="pct"/>
            <w:vAlign w:val="center"/>
          </w:tcPr>
          <w:p>
            <w:pPr>
              <w:spacing w:after="156" w:line="240" w:lineRule="auto"/>
              <w:ind w:firstLine="0" w:firstLineChars="0"/>
              <w:rPr>
                <w:sz w:val="21"/>
                <w:szCs w:val="21"/>
              </w:rPr>
            </w:pPr>
            <w:r>
              <w:rPr>
                <w:rFonts w:hint="eastAsia"/>
                <w:sz w:val="21"/>
                <w:szCs w:val="21"/>
              </w:rPr>
              <w:t>加速度</w:t>
            </w:r>
          </w:p>
          <w:p>
            <w:pPr>
              <w:spacing w:after="156" w:line="240" w:lineRule="auto"/>
              <w:ind w:firstLine="0" w:firstLineChars="0"/>
              <w:rPr>
                <w:sz w:val="21"/>
                <w:szCs w:val="21"/>
              </w:rPr>
            </w:pPr>
            <w:r>
              <w:rPr>
                <w:rFonts w:hint="eastAsia"/>
                <w:sz w:val="21"/>
                <w:szCs w:val="21"/>
              </w:rPr>
              <w:t>（构件）</w:t>
            </w:r>
          </w:p>
          <w:p>
            <w:pPr>
              <w:spacing w:after="156" w:line="240" w:lineRule="auto"/>
              <w:ind w:firstLine="0" w:firstLineChars="0"/>
              <w:rPr>
                <w:sz w:val="21"/>
                <w:szCs w:val="21"/>
              </w:rPr>
            </w:pPr>
            <w:r>
              <w:rPr>
                <w:rFonts w:hint="eastAsia"/>
                <w:sz w:val="21"/>
                <w:szCs w:val="21"/>
              </w:rPr>
              <w:t>主要用于测</w:t>
            </w:r>
          </w:p>
          <w:p>
            <w:pPr>
              <w:spacing w:after="156" w:line="240" w:lineRule="auto"/>
              <w:ind w:firstLine="0" w:firstLineChars="0"/>
              <w:rPr>
                <w:sz w:val="21"/>
                <w:szCs w:val="21"/>
              </w:rPr>
            </w:pPr>
            <w:r>
              <w:rPr>
                <w:rFonts w:hint="eastAsia"/>
                <w:sz w:val="21"/>
                <w:szCs w:val="21"/>
              </w:rPr>
              <w:t>量结构的局</w:t>
            </w:r>
          </w:p>
          <w:p>
            <w:pPr>
              <w:spacing w:after="156" w:line="240" w:lineRule="auto"/>
              <w:ind w:firstLine="0" w:firstLineChars="0"/>
              <w:rPr>
                <w:sz w:val="21"/>
                <w:szCs w:val="21"/>
              </w:rPr>
            </w:pPr>
            <w:r>
              <w:rPr>
                <w:rFonts w:hint="eastAsia"/>
                <w:sz w:val="21"/>
                <w:szCs w:val="21"/>
              </w:rPr>
              <w:t>部模态，应</w:t>
            </w:r>
          </w:p>
          <w:p>
            <w:pPr>
              <w:spacing w:after="156" w:line="240" w:lineRule="auto"/>
              <w:ind w:firstLine="0" w:firstLineChars="0"/>
              <w:rPr>
                <w:sz w:val="21"/>
                <w:szCs w:val="21"/>
              </w:rPr>
            </w:pPr>
            <w:r>
              <w:rPr>
                <w:rFonts w:hint="eastAsia"/>
                <w:sz w:val="21"/>
                <w:szCs w:val="21"/>
              </w:rPr>
              <w:t>采用低频传</w:t>
            </w:r>
          </w:p>
          <w:p>
            <w:pPr>
              <w:spacing w:after="156" w:line="240" w:lineRule="auto"/>
              <w:ind w:firstLine="0" w:firstLineChars="0"/>
              <w:rPr>
                <w:sz w:val="21"/>
                <w:szCs w:val="21"/>
              </w:rPr>
            </w:pPr>
            <w:r>
              <w:rPr>
                <w:rFonts w:hint="eastAsia"/>
                <w:sz w:val="21"/>
                <w:szCs w:val="21"/>
              </w:rPr>
              <w:t>感器。</w:t>
            </w:r>
          </w:p>
        </w:tc>
        <w:tc>
          <w:tcPr>
            <w:tcW w:w="3301" w:type="pct"/>
            <w:vAlign w:val="center"/>
          </w:tcPr>
          <w:p>
            <w:pPr>
              <w:spacing w:after="156" w:line="240" w:lineRule="auto"/>
              <w:ind w:firstLine="0" w:firstLineChars="0"/>
              <w:rPr>
                <w:sz w:val="21"/>
                <w:szCs w:val="21"/>
              </w:rPr>
            </w:pPr>
            <w:r>
              <w:rPr>
                <w:rFonts w:hint="eastAsia"/>
                <w:sz w:val="21"/>
                <w:szCs w:val="21"/>
              </w:rPr>
              <w:t>带宽：0.1Hz～1,000Hz</w:t>
            </w:r>
          </w:p>
          <w:p>
            <w:pPr>
              <w:spacing w:after="156" w:line="240" w:lineRule="auto"/>
              <w:ind w:firstLine="0" w:firstLineChars="0"/>
              <w:rPr>
                <w:sz w:val="21"/>
                <w:szCs w:val="21"/>
              </w:rPr>
            </w:pPr>
            <w:r>
              <w:rPr>
                <w:rFonts w:hint="eastAsia"/>
                <w:sz w:val="21"/>
                <w:szCs w:val="21"/>
              </w:rPr>
              <w:t>量程：±20g</w:t>
            </w:r>
          </w:p>
          <w:p>
            <w:pPr>
              <w:spacing w:after="156" w:line="240" w:lineRule="auto"/>
              <w:ind w:firstLine="0" w:firstLineChars="0"/>
              <w:rPr>
                <w:sz w:val="21"/>
                <w:szCs w:val="21"/>
              </w:rPr>
            </w:pPr>
            <w:r>
              <w:rPr>
                <w:rFonts w:hint="eastAsia"/>
                <w:sz w:val="21"/>
                <w:szCs w:val="21"/>
              </w:rPr>
              <w:t>横向灵敏度：5%</w:t>
            </w:r>
          </w:p>
          <w:p>
            <w:pPr>
              <w:spacing w:after="156" w:line="240" w:lineRule="auto"/>
              <w:ind w:firstLine="0" w:firstLineChars="0"/>
              <w:rPr>
                <w:sz w:val="21"/>
                <w:szCs w:val="21"/>
              </w:rPr>
            </w:pPr>
            <w:r>
              <w:rPr>
                <w:rFonts w:hint="eastAsia"/>
                <w:sz w:val="21"/>
                <w:szCs w:val="21"/>
              </w:rPr>
              <w:t>使用寿命：不少于5年</w:t>
            </w:r>
          </w:p>
          <w:p>
            <w:pPr>
              <w:spacing w:after="156" w:line="240" w:lineRule="auto"/>
              <w:ind w:firstLine="0" w:firstLineChars="0"/>
              <w:rPr>
                <w:sz w:val="21"/>
                <w:szCs w:val="21"/>
              </w:rPr>
            </w:pPr>
            <w:r>
              <w:rPr>
                <w:rFonts w:hint="eastAsia"/>
                <w:sz w:val="21"/>
                <w:szCs w:val="21"/>
              </w:rPr>
              <w:t>环境适用性：应具有防腐、防水等抗恶劣环境性能防护等级：IP67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807" w:type="pct"/>
            <w:vMerge w:val="continue"/>
            <w:vAlign w:val="center"/>
          </w:tcPr>
          <w:p>
            <w:pPr>
              <w:spacing w:after="156" w:line="240" w:lineRule="auto"/>
              <w:ind w:firstLine="0" w:firstLineChars="0"/>
              <w:rPr>
                <w:sz w:val="21"/>
                <w:szCs w:val="21"/>
              </w:rPr>
            </w:pPr>
          </w:p>
        </w:tc>
        <w:tc>
          <w:tcPr>
            <w:tcW w:w="892" w:type="pct"/>
            <w:vAlign w:val="center"/>
          </w:tcPr>
          <w:p>
            <w:pPr>
              <w:spacing w:after="156" w:line="240" w:lineRule="auto"/>
              <w:ind w:firstLine="0" w:firstLineChars="0"/>
              <w:rPr>
                <w:sz w:val="21"/>
                <w:szCs w:val="21"/>
              </w:rPr>
            </w:pPr>
            <w:r>
              <w:rPr>
                <w:rFonts w:hint="eastAsia"/>
                <w:sz w:val="21"/>
                <w:szCs w:val="21"/>
              </w:rPr>
              <w:t>动应变</w:t>
            </w:r>
          </w:p>
        </w:tc>
        <w:tc>
          <w:tcPr>
            <w:tcW w:w="3301" w:type="pct"/>
            <w:vAlign w:val="center"/>
          </w:tcPr>
          <w:p>
            <w:pPr>
              <w:spacing w:after="156" w:line="240" w:lineRule="auto"/>
              <w:ind w:firstLine="0" w:firstLineChars="0"/>
              <w:rPr>
                <w:sz w:val="21"/>
                <w:szCs w:val="21"/>
                <w:lang w:eastAsia="en-US"/>
              </w:rPr>
            </w:pPr>
            <w:r>
              <w:rPr>
                <w:rFonts w:hint="eastAsia"/>
                <w:sz w:val="21"/>
                <w:szCs w:val="21"/>
                <w:lang w:eastAsia="en-US"/>
              </w:rPr>
              <w:t>量程：（0</w:t>
            </w:r>
            <w:r>
              <w:rPr>
                <w:rFonts w:hint="eastAsia"/>
                <w:sz w:val="21"/>
                <w:szCs w:val="21"/>
              </w:rPr>
              <w:t>～</w:t>
            </w:r>
            <w:r>
              <w:rPr>
                <w:rFonts w:hint="eastAsia"/>
                <w:sz w:val="21"/>
                <w:szCs w:val="21"/>
                <w:lang w:eastAsia="en-US"/>
              </w:rPr>
              <w:t>±1,</w:t>
            </w:r>
            <w:r>
              <w:rPr>
                <w:rFonts w:hint="eastAsia"/>
                <w:sz w:val="21"/>
                <w:szCs w:val="21"/>
              </w:rPr>
              <w:t>5</w:t>
            </w:r>
            <w:r>
              <w:rPr>
                <w:rFonts w:hint="eastAsia"/>
                <w:sz w:val="21"/>
                <w:szCs w:val="21"/>
                <w:lang w:eastAsia="en-US"/>
              </w:rPr>
              <w:t>00）</w:t>
            </w:r>
            <w:r>
              <w:rPr>
                <w:rFonts w:cs="TimesNewRomanPSMT"/>
                <w:color w:val="000000"/>
                <w:sz w:val="21"/>
                <w:szCs w:val="21"/>
                <w:lang w:eastAsia="en-US"/>
              </w:rPr>
              <w:t>με</w:t>
            </w:r>
          </w:p>
          <w:p>
            <w:pPr>
              <w:spacing w:after="156" w:line="240" w:lineRule="auto"/>
              <w:ind w:firstLine="0" w:firstLineChars="0"/>
              <w:rPr>
                <w:sz w:val="21"/>
                <w:szCs w:val="21"/>
                <w:lang w:eastAsia="en-US"/>
              </w:rPr>
            </w:pPr>
            <w:r>
              <w:rPr>
                <w:rFonts w:hint="eastAsia"/>
                <w:sz w:val="21"/>
                <w:szCs w:val="21"/>
                <w:lang w:eastAsia="en-US"/>
              </w:rPr>
              <w:t>精度：0.1%FS</w:t>
            </w:r>
          </w:p>
          <w:p>
            <w:pPr>
              <w:spacing w:after="156" w:line="240" w:lineRule="auto"/>
              <w:ind w:firstLine="0" w:firstLineChars="0"/>
              <w:rPr>
                <w:sz w:val="21"/>
                <w:szCs w:val="21"/>
              </w:rPr>
            </w:pPr>
            <w:r>
              <w:rPr>
                <w:rFonts w:hint="eastAsia"/>
                <w:sz w:val="21"/>
                <w:szCs w:val="21"/>
              </w:rPr>
              <w:t>测量频率：≥100Hz</w:t>
            </w:r>
          </w:p>
          <w:p>
            <w:pPr>
              <w:spacing w:after="156" w:line="240" w:lineRule="auto"/>
              <w:ind w:firstLine="0" w:firstLineChars="0"/>
              <w:rPr>
                <w:sz w:val="21"/>
                <w:szCs w:val="21"/>
              </w:rPr>
            </w:pPr>
            <w:r>
              <w:rPr>
                <w:rFonts w:hint="eastAsia"/>
                <w:sz w:val="21"/>
                <w:szCs w:val="21"/>
              </w:rPr>
              <w:t>分辨率：0.1</w:t>
            </w:r>
            <w:r>
              <w:rPr>
                <w:rFonts w:cs="TimesNewRomanPSMT"/>
                <w:color w:val="000000"/>
                <w:sz w:val="21"/>
                <w:szCs w:val="21"/>
                <w:lang w:eastAsia="en-US"/>
              </w:rPr>
              <w:t>με</w:t>
            </w:r>
          </w:p>
          <w:p>
            <w:pPr>
              <w:spacing w:after="156" w:line="240" w:lineRule="auto"/>
              <w:ind w:firstLine="0" w:firstLineChars="0"/>
              <w:rPr>
                <w:sz w:val="21"/>
                <w:szCs w:val="21"/>
              </w:rPr>
            </w:pPr>
            <w:r>
              <w:rPr>
                <w:rFonts w:hint="eastAsia"/>
                <w:sz w:val="21"/>
                <w:szCs w:val="21"/>
              </w:rPr>
              <w:t>使用寿命：不少于5年</w:t>
            </w:r>
          </w:p>
          <w:p>
            <w:pPr>
              <w:spacing w:after="156" w:line="240" w:lineRule="auto"/>
              <w:ind w:firstLine="0" w:firstLineChars="0"/>
              <w:rPr>
                <w:sz w:val="21"/>
                <w:szCs w:val="21"/>
              </w:rPr>
            </w:pPr>
            <w:r>
              <w:rPr>
                <w:rFonts w:hint="eastAsia"/>
                <w:sz w:val="21"/>
                <w:szCs w:val="21"/>
              </w:rPr>
              <w:t>环境适用性：应具有防腐、防水等抗恶劣环境性能</w:t>
            </w:r>
          </w:p>
          <w:p>
            <w:pPr>
              <w:spacing w:after="156" w:line="240" w:lineRule="auto"/>
              <w:ind w:firstLine="0" w:firstLineChars="0"/>
              <w:rPr>
                <w:sz w:val="21"/>
                <w:szCs w:val="21"/>
                <w:lang w:eastAsia="en-US"/>
              </w:rPr>
            </w:pPr>
            <w:r>
              <w:rPr>
                <w:rFonts w:hint="eastAsia"/>
                <w:sz w:val="21"/>
                <w:szCs w:val="21"/>
                <w:lang w:eastAsia="en-US"/>
              </w:rPr>
              <w:t>防护等级：IP67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6" w:hRule="atLeast"/>
        </w:trPr>
        <w:tc>
          <w:tcPr>
            <w:tcW w:w="807" w:type="pct"/>
            <w:vMerge w:val="continue"/>
            <w:vAlign w:val="center"/>
          </w:tcPr>
          <w:p>
            <w:pPr>
              <w:spacing w:after="156" w:line="240" w:lineRule="auto"/>
              <w:ind w:firstLine="0" w:firstLineChars="0"/>
              <w:rPr>
                <w:sz w:val="21"/>
                <w:szCs w:val="21"/>
              </w:rPr>
            </w:pPr>
          </w:p>
        </w:tc>
        <w:tc>
          <w:tcPr>
            <w:tcW w:w="892" w:type="pct"/>
            <w:vAlign w:val="center"/>
          </w:tcPr>
          <w:p>
            <w:pPr>
              <w:spacing w:after="156" w:line="240" w:lineRule="auto"/>
              <w:ind w:firstLine="0" w:firstLineChars="0"/>
              <w:rPr>
                <w:sz w:val="21"/>
                <w:szCs w:val="21"/>
              </w:rPr>
            </w:pPr>
            <w:r>
              <w:rPr>
                <w:rFonts w:hint="eastAsia"/>
                <w:sz w:val="21"/>
                <w:szCs w:val="21"/>
              </w:rPr>
              <w:t>挠度</w:t>
            </w:r>
          </w:p>
        </w:tc>
        <w:tc>
          <w:tcPr>
            <w:tcW w:w="3301" w:type="pct"/>
            <w:vAlign w:val="center"/>
          </w:tcPr>
          <w:p>
            <w:pPr>
              <w:spacing w:after="156" w:line="240" w:lineRule="auto"/>
              <w:ind w:firstLine="0" w:firstLineChars="0"/>
              <w:rPr>
                <w:sz w:val="21"/>
                <w:szCs w:val="21"/>
              </w:rPr>
            </w:pPr>
            <w:r>
              <w:rPr>
                <w:rFonts w:hint="eastAsia"/>
                <w:sz w:val="21"/>
                <w:szCs w:val="21"/>
              </w:rPr>
              <w:t>测量范围：（0～2,000）mm</w:t>
            </w:r>
          </w:p>
          <w:p>
            <w:pPr>
              <w:spacing w:after="156" w:line="240" w:lineRule="auto"/>
              <w:ind w:firstLine="0" w:firstLineChars="0"/>
              <w:rPr>
                <w:sz w:val="21"/>
                <w:szCs w:val="21"/>
              </w:rPr>
            </w:pPr>
            <w:r>
              <w:rPr>
                <w:rFonts w:hint="eastAsia"/>
                <w:sz w:val="21"/>
                <w:szCs w:val="21"/>
              </w:rPr>
              <w:t>精度：0.1%FS</w:t>
            </w:r>
          </w:p>
          <w:p>
            <w:pPr>
              <w:spacing w:after="156" w:line="240" w:lineRule="auto"/>
              <w:ind w:firstLine="0" w:firstLineChars="0"/>
              <w:rPr>
                <w:sz w:val="21"/>
                <w:szCs w:val="21"/>
              </w:rPr>
            </w:pPr>
            <w:r>
              <w:rPr>
                <w:rFonts w:hint="eastAsia"/>
                <w:sz w:val="21"/>
                <w:szCs w:val="21"/>
              </w:rPr>
              <w:t>分辨率：0.01%FS</w:t>
            </w:r>
          </w:p>
          <w:p>
            <w:pPr>
              <w:spacing w:after="156" w:line="240" w:lineRule="auto"/>
              <w:ind w:firstLine="0" w:firstLineChars="0"/>
              <w:rPr>
                <w:sz w:val="21"/>
                <w:szCs w:val="21"/>
              </w:rPr>
            </w:pPr>
            <w:r>
              <w:rPr>
                <w:rFonts w:hint="eastAsia"/>
                <w:sz w:val="21"/>
                <w:szCs w:val="21"/>
              </w:rPr>
              <w:t>使用寿命：不少于5年</w:t>
            </w:r>
          </w:p>
          <w:p>
            <w:pPr>
              <w:spacing w:after="156" w:line="240" w:lineRule="auto"/>
              <w:ind w:firstLine="0" w:firstLineChars="0"/>
              <w:rPr>
                <w:sz w:val="21"/>
                <w:szCs w:val="21"/>
              </w:rPr>
            </w:pPr>
            <w:r>
              <w:rPr>
                <w:rFonts w:hint="eastAsia"/>
                <w:sz w:val="21"/>
                <w:szCs w:val="21"/>
              </w:rPr>
              <w:t>环境适用性：应具有防腐、防水等抗恶劣环境性能</w:t>
            </w:r>
          </w:p>
          <w:p>
            <w:pPr>
              <w:spacing w:after="156" w:line="240" w:lineRule="auto"/>
              <w:ind w:firstLine="0" w:firstLineChars="0"/>
              <w:rPr>
                <w:sz w:val="21"/>
                <w:szCs w:val="21"/>
                <w:lang w:eastAsia="en-US"/>
              </w:rPr>
            </w:pPr>
            <w:r>
              <w:rPr>
                <w:rFonts w:hint="eastAsia"/>
                <w:sz w:val="21"/>
                <w:szCs w:val="21"/>
                <w:lang w:eastAsia="en-US"/>
              </w:rPr>
              <w:t>防护等级：IP67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807" w:type="pct"/>
            <w:vMerge w:val="continue"/>
            <w:vAlign w:val="center"/>
          </w:tcPr>
          <w:p>
            <w:pPr>
              <w:spacing w:after="156" w:line="240" w:lineRule="auto"/>
              <w:ind w:firstLine="0" w:firstLineChars="0"/>
              <w:rPr>
                <w:sz w:val="21"/>
                <w:szCs w:val="21"/>
              </w:rPr>
            </w:pPr>
          </w:p>
        </w:tc>
        <w:tc>
          <w:tcPr>
            <w:tcW w:w="892" w:type="pct"/>
            <w:vAlign w:val="center"/>
          </w:tcPr>
          <w:p>
            <w:pPr>
              <w:spacing w:after="156" w:line="240" w:lineRule="auto"/>
              <w:ind w:firstLine="0" w:firstLineChars="0"/>
              <w:rPr>
                <w:sz w:val="21"/>
                <w:szCs w:val="21"/>
              </w:rPr>
            </w:pPr>
            <w:r>
              <w:rPr>
                <w:rFonts w:hint="eastAsia"/>
                <w:sz w:val="21"/>
                <w:szCs w:val="21"/>
              </w:rPr>
              <w:t>支座反力</w:t>
            </w:r>
          </w:p>
        </w:tc>
        <w:tc>
          <w:tcPr>
            <w:tcW w:w="3301" w:type="pct"/>
            <w:vAlign w:val="center"/>
          </w:tcPr>
          <w:p>
            <w:pPr>
              <w:spacing w:after="156" w:line="240" w:lineRule="auto"/>
              <w:ind w:firstLine="0" w:firstLineChars="0"/>
              <w:rPr>
                <w:sz w:val="21"/>
                <w:szCs w:val="21"/>
              </w:rPr>
            </w:pPr>
            <w:r>
              <w:rPr>
                <w:rFonts w:hint="eastAsia"/>
                <w:sz w:val="21"/>
                <w:szCs w:val="21"/>
              </w:rPr>
              <w:t>测量范围：根据设计最大支座反力2倍值</w:t>
            </w:r>
          </w:p>
          <w:p>
            <w:pPr>
              <w:spacing w:after="156" w:line="240" w:lineRule="auto"/>
              <w:ind w:firstLine="0" w:firstLineChars="0"/>
              <w:rPr>
                <w:sz w:val="21"/>
                <w:szCs w:val="21"/>
              </w:rPr>
            </w:pPr>
            <w:r>
              <w:rPr>
                <w:rFonts w:hint="eastAsia"/>
                <w:sz w:val="21"/>
                <w:szCs w:val="21"/>
              </w:rPr>
              <w:t>确定精度：0.1%FS</w:t>
            </w:r>
          </w:p>
          <w:p>
            <w:pPr>
              <w:spacing w:after="156" w:line="240" w:lineRule="auto"/>
              <w:ind w:firstLine="0" w:firstLineChars="0"/>
              <w:rPr>
                <w:sz w:val="21"/>
                <w:szCs w:val="21"/>
              </w:rPr>
            </w:pPr>
            <w:r>
              <w:rPr>
                <w:rFonts w:hint="eastAsia"/>
                <w:sz w:val="21"/>
                <w:szCs w:val="21"/>
              </w:rPr>
              <w:t>频率：≥1Hz</w:t>
            </w:r>
          </w:p>
          <w:p>
            <w:pPr>
              <w:spacing w:after="156" w:line="240" w:lineRule="auto"/>
              <w:ind w:firstLine="0" w:firstLineChars="0"/>
              <w:rPr>
                <w:sz w:val="21"/>
                <w:szCs w:val="21"/>
              </w:rPr>
            </w:pPr>
            <w:r>
              <w:rPr>
                <w:rFonts w:hint="eastAsia"/>
                <w:sz w:val="21"/>
                <w:szCs w:val="21"/>
              </w:rPr>
              <w:t>分辨率：0.05%FS</w:t>
            </w:r>
          </w:p>
          <w:p>
            <w:pPr>
              <w:spacing w:after="156" w:line="240" w:lineRule="auto"/>
              <w:ind w:firstLine="0" w:firstLineChars="0"/>
              <w:rPr>
                <w:sz w:val="21"/>
                <w:szCs w:val="21"/>
              </w:rPr>
            </w:pPr>
            <w:r>
              <w:rPr>
                <w:rFonts w:hint="eastAsia"/>
                <w:sz w:val="21"/>
                <w:szCs w:val="21"/>
              </w:rPr>
              <w:t>环境适用性：应具有防腐、防水等抗恶劣环境性能</w:t>
            </w:r>
          </w:p>
          <w:p>
            <w:pPr>
              <w:spacing w:after="156" w:line="240" w:lineRule="auto"/>
              <w:ind w:firstLine="0" w:firstLineChars="0"/>
              <w:rPr>
                <w:sz w:val="21"/>
                <w:szCs w:val="21"/>
                <w:lang w:eastAsia="en-US"/>
              </w:rPr>
            </w:pPr>
            <w:r>
              <w:rPr>
                <w:rFonts w:hint="eastAsia"/>
                <w:sz w:val="21"/>
                <w:szCs w:val="21"/>
                <w:lang w:eastAsia="en-US"/>
              </w:rPr>
              <w:t>防护等级：IP67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07" w:type="pct"/>
            <w:vMerge w:val="continue"/>
            <w:vAlign w:val="center"/>
          </w:tcPr>
          <w:p>
            <w:pPr>
              <w:spacing w:after="156" w:line="240" w:lineRule="auto"/>
              <w:ind w:firstLine="0" w:firstLineChars="0"/>
              <w:rPr>
                <w:sz w:val="21"/>
                <w:szCs w:val="21"/>
              </w:rPr>
            </w:pPr>
          </w:p>
        </w:tc>
        <w:tc>
          <w:tcPr>
            <w:tcW w:w="892" w:type="pct"/>
            <w:vAlign w:val="center"/>
          </w:tcPr>
          <w:p>
            <w:pPr>
              <w:spacing w:after="156" w:line="240" w:lineRule="auto"/>
              <w:ind w:firstLine="0" w:firstLineChars="0"/>
              <w:rPr>
                <w:sz w:val="21"/>
                <w:szCs w:val="21"/>
              </w:rPr>
            </w:pPr>
            <w:r>
              <w:rPr>
                <w:rFonts w:hint="eastAsia"/>
                <w:sz w:val="21"/>
                <w:szCs w:val="21"/>
              </w:rPr>
              <w:t>桥梁综合接</w:t>
            </w:r>
          </w:p>
          <w:p>
            <w:pPr>
              <w:spacing w:after="156" w:line="240" w:lineRule="auto"/>
              <w:ind w:firstLine="0" w:firstLineChars="0"/>
              <w:rPr>
                <w:sz w:val="21"/>
                <w:szCs w:val="21"/>
              </w:rPr>
            </w:pPr>
            <w:r>
              <w:rPr>
                <w:rFonts w:hint="eastAsia"/>
                <w:sz w:val="21"/>
                <w:szCs w:val="21"/>
              </w:rPr>
              <w:t>入网关</w:t>
            </w:r>
          </w:p>
        </w:tc>
        <w:tc>
          <w:tcPr>
            <w:tcW w:w="3301" w:type="pct"/>
            <w:vAlign w:val="center"/>
          </w:tcPr>
          <w:p>
            <w:pPr>
              <w:spacing w:after="156" w:line="240" w:lineRule="auto"/>
              <w:ind w:firstLine="0" w:firstLineChars="0"/>
              <w:rPr>
                <w:sz w:val="21"/>
                <w:szCs w:val="21"/>
              </w:rPr>
            </w:pPr>
            <w:r>
              <w:rPr>
                <w:rFonts w:hint="eastAsia"/>
                <w:sz w:val="21"/>
                <w:szCs w:val="21"/>
              </w:rPr>
              <w:t>工作环境：-20</w:t>
            </w:r>
            <w:r>
              <w:rPr>
                <w:rFonts w:hint="eastAsia"/>
                <w:spacing w:val="-1"/>
                <w:sz w:val="21"/>
                <w:szCs w:val="21"/>
              </w:rPr>
              <w:t>℃</w:t>
            </w:r>
            <w:r>
              <w:rPr>
                <w:rFonts w:hint="eastAsia"/>
                <w:sz w:val="21"/>
                <w:szCs w:val="21"/>
              </w:rPr>
              <w:t>～60℃</w:t>
            </w:r>
          </w:p>
          <w:p>
            <w:pPr>
              <w:spacing w:after="156" w:line="240" w:lineRule="auto"/>
              <w:ind w:firstLine="0" w:firstLineChars="0"/>
              <w:rPr>
                <w:sz w:val="21"/>
                <w:szCs w:val="21"/>
              </w:rPr>
            </w:pPr>
            <w:r>
              <w:rPr>
                <w:rFonts w:hint="eastAsia"/>
                <w:sz w:val="21"/>
                <w:szCs w:val="21"/>
              </w:rPr>
              <w:t>振弦信号复合采集模块：</w:t>
            </w:r>
          </w:p>
          <w:p>
            <w:pPr>
              <w:spacing w:after="156" w:line="240" w:lineRule="auto"/>
              <w:ind w:firstLine="0" w:firstLineChars="0"/>
              <w:rPr>
                <w:sz w:val="21"/>
                <w:szCs w:val="21"/>
              </w:rPr>
            </w:pPr>
            <w:r>
              <w:rPr>
                <w:rFonts w:hint="eastAsia"/>
                <w:spacing w:val="-34"/>
                <w:sz w:val="21"/>
                <w:szCs w:val="21"/>
              </w:rPr>
              <w:t>量程：频率：</w:t>
            </w:r>
            <w:r>
              <w:rPr>
                <w:rFonts w:hint="eastAsia"/>
                <w:sz w:val="21"/>
                <w:szCs w:val="21"/>
              </w:rPr>
              <w:t>300</w:t>
            </w:r>
            <w:r>
              <w:rPr>
                <w:rFonts w:hint="eastAsia"/>
                <w:spacing w:val="-1"/>
                <w:sz w:val="21"/>
                <w:szCs w:val="21"/>
              </w:rPr>
              <w:t>H</w:t>
            </w:r>
            <w:r>
              <w:rPr>
                <w:rFonts w:hint="eastAsia"/>
                <w:sz w:val="21"/>
                <w:szCs w:val="21"/>
              </w:rPr>
              <w:t>z～6000</w:t>
            </w:r>
            <w:r>
              <w:rPr>
                <w:rFonts w:hint="eastAsia"/>
                <w:spacing w:val="-1"/>
                <w:sz w:val="21"/>
                <w:szCs w:val="21"/>
              </w:rPr>
              <w:t>Hz</w:t>
            </w:r>
            <w:r>
              <w:rPr>
                <w:rFonts w:hint="eastAsia"/>
                <w:spacing w:val="-51"/>
                <w:sz w:val="21"/>
                <w:szCs w:val="21"/>
              </w:rPr>
              <w:t>，温度：</w:t>
            </w:r>
            <w:r>
              <w:rPr>
                <w:rFonts w:hint="eastAsia"/>
                <w:spacing w:val="-1"/>
                <w:sz w:val="21"/>
                <w:szCs w:val="21"/>
              </w:rPr>
              <w:t>-</w:t>
            </w:r>
            <w:r>
              <w:rPr>
                <w:rFonts w:hint="eastAsia"/>
                <w:sz w:val="21"/>
                <w:szCs w:val="21"/>
              </w:rPr>
              <w:t>30℃～70℃</w:t>
            </w:r>
          </w:p>
          <w:p>
            <w:pPr>
              <w:spacing w:after="156" w:line="240" w:lineRule="auto"/>
              <w:ind w:firstLine="0" w:firstLineChars="0"/>
              <w:rPr>
                <w:sz w:val="21"/>
                <w:szCs w:val="21"/>
              </w:rPr>
            </w:pPr>
            <w:r>
              <w:rPr>
                <w:rFonts w:hint="eastAsia"/>
                <w:sz w:val="21"/>
                <w:szCs w:val="21"/>
              </w:rPr>
              <w:t>精度：频率：±0.05Hz，温度：0.5℃</w:t>
            </w:r>
          </w:p>
          <w:p>
            <w:pPr>
              <w:spacing w:after="156" w:line="240" w:lineRule="auto"/>
              <w:ind w:firstLine="0" w:firstLineChars="0"/>
              <w:rPr>
                <w:sz w:val="21"/>
                <w:szCs w:val="21"/>
              </w:rPr>
            </w:pPr>
            <w:r>
              <w:rPr>
                <w:rFonts w:hint="eastAsia"/>
                <w:sz w:val="21"/>
                <w:szCs w:val="21"/>
              </w:rPr>
              <w:t>标准电压复合采集模块：</w:t>
            </w:r>
          </w:p>
          <w:p>
            <w:pPr>
              <w:spacing w:after="156" w:line="240" w:lineRule="auto"/>
              <w:ind w:firstLine="0" w:firstLineChars="0"/>
              <w:rPr>
                <w:sz w:val="21"/>
                <w:szCs w:val="21"/>
              </w:rPr>
            </w:pPr>
            <w:r>
              <w:rPr>
                <w:rFonts w:hint="eastAsia"/>
                <w:sz w:val="21"/>
                <w:szCs w:val="21"/>
              </w:rPr>
              <w:t>量程：电压：±10V（可编程输入范围）</w:t>
            </w:r>
          </w:p>
          <w:p>
            <w:pPr>
              <w:spacing w:after="156" w:line="240" w:lineRule="auto"/>
              <w:ind w:firstLine="0" w:firstLineChars="0"/>
              <w:rPr>
                <w:sz w:val="21"/>
                <w:szCs w:val="21"/>
              </w:rPr>
            </w:pPr>
            <w:r>
              <w:rPr>
                <w:rFonts w:hint="eastAsia"/>
                <w:sz w:val="21"/>
                <w:szCs w:val="21"/>
              </w:rPr>
              <w:t>精度：电压：0.02%FS</w:t>
            </w:r>
          </w:p>
          <w:p>
            <w:pPr>
              <w:spacing w:after="156" w:line="240" w:lineRule="auto"/>
              <w:ind w:firstLine="0" w:firstLineChars="0"/>
              <w:rPr>
                <w:sz w:val="21"/>
                <w:szCs w:val="21"/>
              </w:rPr>
            </w:pPr>
            <w:r>
              <w:rPr>
                <w:rFonts w:hint="eastAsia"/>
                <w:sz w:val="21"/>
                <w:szCs w:val="21"/>
              </w:rPr>
              <w:t>标准电流复合采集模块：</w:t>
            </w:r>
          </w:p>
          <w:p>
            <w:pPr>
              <w:spacing w:after="156" w:line="240" w:lineRule="auto"/>
              <w:ind w:firstLine="0" w:firstLineChars="0"/>
              <w:rPr>
                <w:sz w:val="21"/>
                <w:szCs w:val="21"/>
              </w:rPr>
            </w:pPr>
            <w:r>
              <w:rPr>
                <w:rFonts w:hint="eastAsia"/>
                <w:sz w:val="21"/>
                <w:szCs w:val="21"/>
              </w:rPr>
              <w:t>量程：电流：±20mA（可编程输入范围）</w:t>
            </w:r>
          </w:p>
          <w:p>
            <w:pPr>
              <w:spacing w:after="156" w:line="240" w:lineRule="auto"/>
              <w:ind w:firstLine="0" w:firstLineChars="0"/>
              <w:rPr>
                <w:sz w:val="21"/>
                <w:szCs w:val="21"/>
              </w:rPr>
            </w:pPr>
            <w:r>
              <w:rPr>
                <w:rFonts w:hint="eastAsia"/>
                <w:sz w:val="21"/>
                <w:szCs w:val="21"/>
              </w:rPr>
              <w:t>精度：电流：0.05%FS</w:t>
            </w:r>
          </w:p>
          <w:p>
            <w:pPr>
              <w:spacing w:after="156" w:line="240" w:lineRule="auto"/>
              <w:ind w:firstLine="0" w:firstLineChars="0"/>
              <w:rPr>
                <w:sz w:val="21"/>
                <w:szCs w:val="21"/>
              </w:rPr>
            </w:pPr>
            <w:r>
              <w:rPr>
                <w:rFonts w:hint="eastAsia"/>
                <w:sz w:val="21"/>
                <w:szCs w:val="21"/>
              </w:rPr>
              <w:t>差阻信号复合采集模块：</w:t>
            </w:r>
          </w:p>
          <w:p>
            <w:pPr>
              <w:spacing w:after="156" w:line="240" w:lineRule="auto"/>
              <w:ind w:firstLine="0" w:firstLineChars="0"/>
              <w:rPr>
                <w:sz w:val="21"/>
                <w:szCs w:val="21"/>
              </w:rPr>
            </w:pPr>
            <w:r>
              <w:rPr>
                <w:rFonts w:hint="eastAsia"/>
                <w:sz w:val="21"/>
                <w:szCs w:val="21"/>
              </w:rPr>
              <w:t>量程：电阻比：0.8～1.2，电阻值：0</w:t>
            </w:r>
            <w:r>
              <w:rPr>
                <w:rFonts w:hint="eastAsia"/>
                <w:sz w:val="21"/>
                <w:szCs w:val="21"/>
                <w:lang w:eastAsia="en-US"/>
              </w:rPr>
              <w:t>Ω</w:t>
            </w:r>
            <w:r>
              <w:rPr>
                <w:rFonts w:hint="eastAsia"/>
                <w:sz w:val="21"/>
                <w:szCs w:val="21"/>
              </w:rPr>
              <w:t>～120</w:t>
            </w:r>
            <w:r>
              <w:rPr>
                <w:rFonts w:hint="eastAsia"/>
                <w:sz w:val="21"/>
                <w:szCs w:val="21"/>
                <w:lang w:eastAsia="en-US"/>
              </w:rPr>
              <w:t>Ω</w:t>
            </w:r>
          </w:p>
          <w:p>
            <w:pPr>
              <w:spacing w:after="156" w:line="240" w:lineRule="auto"/>
              <w:ind w:firstLine="0" w:firstLineChars="0"/>
              <w:rPr>
                <w:sz w:val="21"/>
                <w:szCs w:val="21"/>
              </w:rPr>
            </w:pPr>
            <w:r>
              <w:rPr>
                <w:rFonts w:hint="eastAsia"/>
                <w:sz w:val="21"/>
                <w:szCs w:val="21"/>
              </w:rPr>
              <w:t>精度：电阻比：0.01%，电阻和：0.01</w:t>
            </w:r>
            <w:r>
              <w:rPr>
                <w:rFonts w:hint="eastAsia"/>
                <w:sz w:val="21"/>
                <w:szCs w:val="21"/>
                <w:lang w:eastAsia="en-US"/>
              </w:rPr>
              <w:t>Ω</w:t>
            </w:r>
            <w:r>
              <w:rPr>
                <w:rFonts w:hint="eastAsia" w:ascii="MS Gothic" w:hAnsi="MS Gothic" w:eastAsia="MS Gothic" w:cs="MS Gothic"/>
                <w:sz w:val="21"/>
                <w:szCs w:val="21"/>
              </w:rPr>
              <w:t>‎</w:t>
            </w:r>
          </w:p>
          <w:p>
            <w:pPr>
              <w:spacing w:after="156" w:line="240" w:lineRule="auto"/>
              <w:ind w:firstLine="0" w:firstLineChars="0"/>
              <w:rPr>
                <w:sz w:val="21"/>
                <w:szCs w:val="21"/>
              </w:rPr>
            </w:pPr>
            <w:r>
              <w:rPr>
                <w:rFonts w:hint="eastAsia"/>
                <w:sz w:val="21"/>
                <w:szCs w:val="21"/>
              </w:rPr>
              <w:t>动态应变复合采集模块：</w:t>
            </w:r>
          </w:p>
          <w:p>
            <w:pPr>
              <w:spacing w:after="156" w:line="240" w:lineRule="auto"/>
              <w:ind w:firstLine="0" w:firstLineChars="0"/>
              <w:rPr>
                <w:sz w:val="21"/>
                <w:szCs w:val="21"/>
              </w:rPr>
            </w:pPr>
            <w:r>
              <w:rPr>
                <w:rFonts w:hint="eastAsia"/>
                <w:sz w:val="21"/>
                <w:szCs w:val="21"/>
              </w:rPr>
              <w:t>量程：动态应变：±25mV/V模拟输入</w:t>
            </w:r>
          </w:p>
          <w:p>
            <w:pPr>
              <w:spacing w:after="156" w:line="240" w:lineRule="auto"/>
              <w:ind w:firstLine="0" w:firstLineChars="0"/>
              <w:rPr>
                <w:sz w:val="21"/>
                <w:szCs w:val="21"/>
              </w:rPr>
            </w:pPr>
            <w:r>
              <w:rPr>
                <w:rFonts w:hint="eastAsia"/>
                <w:sz w:val="21"/>
                <w:szCs w:val="21"/>
              </w:rPr>
              <w:t>精度：0.5%FS</w:t>
            </w:r>
          </w:p>
          <w:p>
            <w:pPr>
              <w:spacing w:after="156" w:line="240" w:lineRule="auto"/>
              <w:ind w:firstLine="0" w:firstLineChars="0"/>
              <w:rPr>
                <w:sz w:val="21"/>
                <w:szCs w:val="21"/>
                <w:lang w:eastAsia="en-US"/>
              </w:rPr>
            </w:pPr>
            <w:r>
              <w:rPr>
                <w:rFonts w:hint="eastAsia"/>
                <w:sz w:val="21"/>
                <w:szCs w:val="21"/>
                <w:lang w:eastAsia="en-US"/>
              </w:rPr>
              <w:t>IEPE复合采集模块：</w:t>
            </w:r>
          </w:p>
          <w:p>
            <w:pPr>
              <w:spacing w:after="156" w:line="240" w:lineRule="auto"/>
              <w:ind w:firstLine="0" w:firstLineChars="0"/>
              <w:rPr>
                <w:sz w:val="21"/>
                <w:szCs w:val="21"/>
                <w:lang w:eastAsia="en-US"/>
              </w:rPr>
            </w:pPr>
            <w:r>
              <w:rPr>
                <w:rFonts w:hint="eastAsia"/>
                <w:sz w:val="21"/>
                <w:szCs w:val="21"/>
                <w:lang w:eastAsia="en-US"/>
              </w:rPr>
              <w:t>量程：IEPE：±10V输入</w:t>
            </w:r>
          </w:p>
          <w:p>
            <w:pPr>
              <w:spacing w:after="156" w:line="240" w:lineRule="auto"/>
              <w:ind w:firstLine="0" w:firstLineChars="0"/>
              <w:rPr>
                <w:sz w:val="21"/>
                <w:szCs w:val="21"/>
              </w:rPr>
            </w:pPr>
            <w:r>
              <w:rPr>
                <w:rFonts w:hint="eastAsia"/>
                <w:sz w:val="21"/>
                <w:szCs w:val="21"/>
              </w:rPr>
              <w:t>精度：0.5%FS</w:t>
            </w:r>
          </w:p>
          <w:p>
            <w:pPr>
              <w:spacing w:after="156" w:line="240" w:lineRule="auto"/>
              <w:ind w:firstLine="0" w:firstLineChars="0"/>
              <w:rPr>
                <w:sz w:val="21"/>
                <w:szCs w:val="21"/>
              </w:rPr>
            </w:pPr>
            <w:r>
              <w:rPr>
                <w:rFonts w:hint="eastAsia"/>
                <w:sz w:val="21"/>
                <w:szCs w:val="21"/>
              </w:rPr>
              <w:t>寿命：不少于5年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807" w:type="pct"/>
            <w:vMerge w:val="continue"/>
            <w:tcBorders>
              <w:top w:val="nil"/>
            </w:tcBorders>
            <w:vAlign w:val="center"/>
          </w:tcPr>
          <w:p>
            <w:pPr>
              <w:spacing w:after="156" w:line="240" w:lineRule="auto"/>
              <w:ind w:firstLine="0" w:firstLineChars="0"/>
              <w:rPr>
                <w:sz w:val="21"/>
                <w:szCs w:val="21"/>
              </w:rPr>
            </w:pPr>
          </w:p>
        </w:tc>
        <w:tc>
          <w:tcPr>
            <w:tcW w:w="892" w:type="pct"/>
            <w:vAlign w:val="center"/>
          </w:tcPr>
          <w:p>
            <w:pPr>
              <w:spacing w:after="156" w:line="240" w:lineRule="auto"/>
              <w:ind w:firstLine="0" w:firstLineChars="0"/>
              <w:rPr>
                <w:sz w:val="21"/>
                <w:szCs w:val="21"/>
              </w:rPr>
            </w:pPr>
            <w:r>
              <w:rPr>
                <w:rFonts w:hint="eastAsia"/>
                <w:sz w:val="21"/>
                <w:szCs w:val="21"/>
              </w:rPr>
              <w:t>桥梁前端预处理主机</w:t>
            </w:r>
          </w:p>
        </w:tc>
        <w:tc>
          <w:tcPr>
            <w:tcW w:w="3301" w:type="pct"/>
            <w:vAlign w:val="center"/>
          </w:tcPr>
          <w:p>
            <w:pPr>
              <w:spacing w:after="156" w:line="240" w:lineRule="auto"/>
              <w:ind w:firstLine="0" w:firstLineChars="0"/>
              <w:rPr>
                <w:sz w:val="21"/>
                <w:szCs w:val="21"/>
              </w:rPr>
            </w:pPr>
            <w:r>
              <w:rPr>
                <w:rFonts w:hint="eastAsia"/>
                <w:sz w:val="21"/>
                <w:szCs w:val="21"/>
              </w:rPr>
              <w:t>数据处理：不小于100个测点同时20Hz、采样策略控制、FFT</w:t>
            </w:r>
          </w:p>
          <w:p>
            <w:pPr>
              <w:spacing w:after="156" w:line="240" w:lineRule="auto"/>
              <w:ind w:firstLine="0" w:firstLineChars="0"/>
              <w:rPr>
                <w:sz w:val="21"/>
                <w:szCs w:val="21"/>
              </w:rPr>
            </w:pPr>
            <w:r>
              <w:rPr>
                <w:rFonts w:hint="eastAsia"/>
                <w:sz w:val="21"/>
                <w:szCs w:val="21"/>
              </w:rPr>
              <w:t>数据分析：阈值告警</w:t>
            </w:r>
          </w:p>
          <w:p>
            <w:pPr>
              <w:spacing w:after="156" w:line="240" w:lineRule="auto"/>
              <w:ind w:firstLine="0" w:firstLineChars="0"/>
              <w:rPr>
                <w:sz w:val="21"/>
                <w:szCs w:val="21"/>
              </w:rPr>
            </w:pPr>
            <w:r>
              <w:rPr>
                <w:rFonts w:hint="eastAsia"/>
                <w:sz w:val="21"/>
                <w:szCs w:val="21"/>
              </w:rPr>
              <w:t>授时定位：GPS</w:t>
            </w:r>
          </w:p>
          <w:p>
            <w:pPr>
              <w:spacing w:after="156" w:line="240" w:lineRule="auto"/>
              <w:ind w:firstLine="0" w:firstLineChars="0"/>
              <w:rPr>
                <w:spacing w:val="-12"/>
                <w:sz w:val="21"/>
                <w:szCs w:val="21"/>
              </w:rPr>
            </w:pPr>
            <w:r>
              <w:rPr>
                <w:rFonts w:hint="eastAsia"/>
                <w:spacing w:val="-17"/>
                <w:sz w:val="21"/>
                <w:szCs w:val="21"/>
              </w:rPr>
              <w:t>接口：以太网口、</w:t>
            </w:r>
            <w:r>
              <w:rPr>
                <w:rFonts w:hint="eastAsia"/>
                <w:sz w:val="21"/>
                <w:szCs w:val="21"/>
              </w:rPr>
              <w:t>RS232</w:t>
            </w:r>
            <w:r>
              <w:rPr>
                <w:rFonts w:hint="eastAsia"/>
                <w:spacing w:val="-63"/>
                <w:sz w:val="21"/>
                <w:szCs w:val="21"/>
              </w:rPr>
              <w:t>、</w:t>
            </w:r>
            <w:r>
              <w:rPr>
                <w:rFonts w:hint="eastAsia"/>
                <w:sz w:val="21"/>
                <w:szCs w:val="21"/>
              </w:rPr>
              <w:t>USB</w:t>
            </w:r>
            <w:r>
              <w:rPr>
                <w:rFonts w:hint="eastAsia"/>
                <w:spacing w:val="-63"/>
                <w:sz w:val="21"/>
                <w:szCs w:val="21"/>
              </w:rPr>
              <w:t>、</w:t>
            </w:r>
            <w:r>
              <w:rPr>
                <w:rFonts w:hint="eastAsia"/>
                <w:sz w:val="21"/>
                <w:szCs w:val="21"/>
              </w:rPr>
              <w:t>VGA</w:t>
            </w:r>
            <w:r>
              <w:rPr>
                <w:rFonts w:hint="eastAsia"/>
                <w:spacing w:val="-63"/>
                <w:sz w:val="21"/>
                <w:szCs w:val="21"/>
              </w:rPr>
              <w:t>、</w:t>
            </w:r>
            <w:r>
              <w:rPr>
                <w:rFonts w:hint="eastAsia"/>
                <w:sz w:val="21"/>
                <w:szCs w:val="21"/>
              </w:rPr>
              <w:t>LED</w:t>
            </w:r>
            <w:r>
              <w:rPr>
                <w:rFonts w:hint="eastAsia"/>
                <w:spacing w:val="-60"/>
                <w:sz w:val="21"/>
                <w:szCs w:val="21"/>
              </w:rPr>
              <w:t>、</w:t>
            </w:r>
            <w:r>
              <w:rPr>
                <w:rFonts w:hint="eastAsia"/>
                <w:spacing w:val="-12"/>
                <w:sz w:val="21"/>
                <w:szCs w:val="21"/>
              </w:rPr>
              <w:t>SATA</w:t>
            </w:r>
          </w:p>
          <w:p>
            <w:pPr>
              <w:spacing w:after="156" w:line="240" w:lineRule="auto"/>
              <w:ind w:firstLine="0" w:firstLineChars="0"/>
              <w:rPr>
                <w:sz w:val="21"/>
                <w:szCs w:val="21"/>
              </w:rPr>
            </w:pPr>
            <w:r>
              <w:rPr>
                <w:rFonts w:hint="eastAsia"/>
                <w:sz w:val="21"/>
                <w:szCs w:val="21"/>
              </w:rPr>
              <w:t>系统保护：主备双系统</w:t>
            </w:r>
          </w:p>
          <w:p>
            <w:pPr>
              <w:spacing w:after="156" w:line="240" w:lineRule="auto"/>
              <w:ind w:firstLine="0" w:firstLineChars="0"/>
              <w:rPr>
                <w:sz w:val="21"/>
                <w:szCs w:val="21"/>
              </w:rPr>
            </w:pPr>
            <w:r>
              <w:rPr>
                <w:rFonts w:hint="eastAsia"/>
                <w:sz w:val="21"/>
                <w:szCs w:val="21"/>
              </w:rPr>
              <w:t>工作环境：-20℃～60℃</w:t>
            </w:r>
          </w:p>
          <w:p>
            <w:pPr>
              <w:spacing w:after="156" w:line="240" w:lineRule="auto"/>
              <w:ind w:firstLine="0" w:firstLineChars="0"/>
              <w:rPr>
                <w:sz w:val="21"/>
                <w:szCs w:val="21"/>
              </w:rPr>
            </w:pPr>
            <w:r>
              <w:rPr>
                <w:rFonts w:hint="eastAsia"/>
                <w:sz w:val="21"/>
                <w:szCs w:val="21"/>
              </w:rPr>
              <w:t>寿命：不少于5年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6" w:hRule="atLeast"/>
        </w:trPr>
        <w:tc>
          <w:tcPr>
            <w:tcW w:w="807" w:type="pct"/>
            <w:vMerge w:val="restart"/>
            <w:vAlign w:val="center"/>
          </w:tcPr>
          <w:p>
            <w:pPr>
              <w:spacing w:after="156" w:line="240" w:lineRule="auto"/>
              <w:ind w:firstLine="0" w:firstLineChars="0"/>
              <w:rPr>
                <w:sz w:val="21"/>
                <w:szCs w:val="21"/>
              </w:rPr>
            </w:pPr>
            <w:r>
              <w:rPr>
                <w:rFonts w:hint="eastAsia"/>
                <w:sz w:val="21"/>
                <w:szCs w:val="21"/>
              </w:rPr>
              <w:t>外部荷载</w:t>
            </w:r>
          </w:p>
        </w:tc>
        <w:tc>
          <w:tcPr>
            <w:tcW w:w="892" w:type="pct"/>
            <w:vAlign w:val="center"/>
          </w:tcPr>
          <w:p>
            <w:pPr>
              <w:spacing w:after="156" w:line="240" w:lineRule="auto"/>
              <w:ind w:firstLine="0" w:firstLineChars="0"/>
              <w:rPr>
                <w:sz w:val="21"/>
                <w:szCs w:val="21"/>
              </w:rPr>
            </w:pPr>
            <w:r>
              <w:rPr>
                <w:rFonts w:hint="eastAsia"/>
                <w:sz w:val="21"/>
                <w:szCs w:val="21"/>
              </w:rPr>
              <w:t>交通流量</w:t>
            </w:r>
          </w:p>
        </w:tc>
        <w:tc>
          <w:tcPr>
            <w:tcW w:w="3301" w:type="pct"/>
            <w:vAlign w:val="center"/>
          </w:tcPr>
          <w:p>
            <w:pPr>
              <w:spacing w:after="156" w:line="240" w:lineRule="auto"/>
              <w:ind w:firstLine="0" w:firstLineChars="0"/>
              <w:rPr>
                <w:sz w:val="21"/>
                <w:szCs w:val="21"/>
              </w:rPr>
            </w:pPr>
            <w:r>
              <w:rPr>
                <w:rFonts w:hint="eastAsia"/>
                <w:sz w:val="21"/>
                <w:szCs w:val="21"/>
              </w:rPr>
              <w:t>适应量程：（0～200）km/h</w:t>
            </w:r>
          </w:p>
          <w:p>
            <w:pPr>
              <w:spacing w:after="156" w:line="240" w:lineRule="auto"/>
              <w:ind w:firstLine="0" w:firstLineChars="0"/>
              <w:rPr>
                <w:sz w:val="21"/>
                <w:szCs w:val="21"/>
              </w:rPr>
            </w:pPr>
            <w:r>
              <w:rPr>
                <w:rFonts w:hint="eastAsia"/>
                <w:sz w:val="21"/>
                <w:szCs w:val="21"/>
              </w:rPr>
              <w:t>计数精度：＞95%</w:t>
            </w:r>
          </w:p>
          <w:p>
            <w:pPr>
              <w:spacing w:after="156" w:line="240" w:lineRule="auto"/>
              <w:ind w:firstLine="0" w:firstLineChars="0"/>
              <w:rPr>
                <w:sz w:val="21"/>
                <w:szCs w:val="21"/>
              </w:rPr>
            </w:pPr>
            <w:r>
              <w:rPr>
                <w:rFonts w:hint="eastAsia"/>
                <w:sz w:val="21"/>
                <w:szCs w:val="21"/>
              </w:rPr>
              <w:t>速度精度：＞95%</w:t>
            </w:r>
          </w:p>
          <w:p>
            <w:pPr>
              <w:spacing w:after="156" w:line="240" w:lineRule="auto"/>
              <w:ind w:firstLine="0" w:firstLineChars="0"/>
              <w:rPr>
                <w:sz w:val="21"/>
                <w:szCs w:val="21"/>
              </w:rPr>
            </w:pPr>
            <w:r>
              <w:rPr>
                <w:rFonts w:hint="eastAsia"/>
                <w:sz w:val="21"/>
                <w:szCs w:val="21"/>
              </w:rPr>
              <w:t>使用寿命：不少于5年</w:t>
            </w:r>
          </w:p>
          <w:p>
            <w:pPr>
              <w:spacing w:after="156" w:line="240" w:lineRule="auto"/>
              <w:ind w:firstLine="0" w:firstLineChars="0"/>
              <w:rPr>
                <w:sz w:val="21"/>
                <w:szCs w:val="21"/>
              </w:rPr>
            </w:pPr>
            <w:r>
              <w:rPr>
                <w:rFonts w:hint="eastAsia"/>
                <w:sz w:val="21"/>
                <w:szCs w:val="21"/>
              </w:rPr>
              <w:t>环境适用性：应具有防腐、防水等抗恶劣环境性能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6" w:hRule="atLeast"/>
        </w:trPr>
        <w:tc>
          <w:tcPr>
            <w:tcW w:w="807" w:type="pct"/>
            <w:vMerge w:val="continue"/>
            <w:vAlign w:val="center"/>
          </w:tcPr>
          <w:p>
            <w:pPr>
              <w:spacing w:after="156" w:line="240" w:lineRule="auto"/>
              <w:ind w:firstLine="0" w:firstLineChars="0"/>
              <w:rPr>
                <w:sz w:val="21"/>
                <w:szCs w:val="21"/>
              </w:rPr>
            </w:pPr>
          </w:p>
        </w:tc>
        <w:tc>
          <w:tcPr>
            <w:tcW w:w="892" w:type="pct"/>
            <w:vAlign w:val="center"/>
          </w:tcPr>
          <w:p>
            <w:pPr>
              <w:spacing w:after="156" w:line="240" w:lineRule="auto"/>
              <w:ind w:firstLine="0" w:firstLineChars="0"/>
              <w:rPr>
                <w:sz w:val="21"/>
                <w:szCs w:val="21"/>
              </w:rPr>
            </w:pPr>
            <w:r>
              <w:rPr>
                <w:rFonts w:hint="eastAsia"/>
                <w:sz w:val="21"/>
                <w:szCs w:val="21"/>
              </w:rPr>
              <w:t>车辆荷载</w:t>
            </w:r>
          </w:p>
        </w:tc>
        <w:tc>
          <w:tcPr>
            <w:tcW w:w="3301" w:type="pct"/>
            <w:vAlign w:val="center"/>
          </w:tcPr>
          <w:p>
            <w:pPr>
              <w:spacing w:after="156" w:line="240" w:lineRule="auto"/>
              <w:ind w:firstLine="0" w:firstLineChars="0"/>
              <w:rPr>
                <w:sz w:val="21"/>
                <w:szCs w:val="21"/>
              </w:rPr>
            </w:pPr>
            <w:r>
              <w:rPr>
                <w:rFonts w:hint="eastAsia"/>
                <w:spacing w:val="-11"/>
                <w:sz w:val="21"/>
                <w:szCs w:val="21"/>
              </w:rPr>
              <w:t>量程：根据桥梁车辆限载重以及预估车辆荷载重综</w:t>
            </w:r>
            <w:r>
              <w:rPr>
                <w:rFonts w:hint="eastAsia"/>
                <w:sz w:val="21"/>
                <w:szCs w:val="21"/>
              </w:rPr>
              <w:t>合确定，单轴监测量程不宜小于限载车辆轴重的200%</w:t>
            </w:r>
          </w:p>
          <w:p>
            <w:pPr>
              <w:spacing w:after="156" w:line="240" w:lineRule="auto"/>
              <w:ind w:firstLine="0" w:firstLineChars="0"/>
              <w:rPr>
                <w:sz w:val="21"/>
                <w:szCs w:val="21"/>
              </w:rPr>
            </w:pPr>
            <w:r>
              <w:rPr>
                <w:rFonts w:hint="eastAsia"/>
                <w:sz w:val="21"/>
                <w:szCs w:val="21"/>
              </w:rPr>
              <w:t>车辆检测速度：0.5km/h～100km/h</w:t>
            </w:r>
          </w:p>
          <w:p>
            <w:pPr>
              <w:spacing w:after="156" w:line="240" w:lineRule="auto"/>
              <w:ind w:firstLine="0" w:firstLineChars="0"/>
              <w:rPr>
                <w:sz w:val="21"/>
                <w:szCs w:val="21"/>
              </w:rPr>
            </w:pPr>
            <w:r>
              <w:rPr>
                <w:rFonts w:hint="eastAsia"/>
                <w:sz w:val="21"/>
                <w:szCs w:val="21"/>
              </w:rPr>
              <w:t>称重最大容许误差：≤7%</w:t>
            </w:r>
          </w:p>
          <w:p>
            <w:pPr>
              <w:spacing w:after="156" w:line="240" w:lineRule="auto"/>
              <w:ind w:firstLine="0" w:firstLineChars="0"/>
              <w:rPr>
                <w:sz w:val="21"/>
                <w:szCs w:val="21"/>
              </w:rPr>
            </w:pPr>
            <w:r>
              <w:rPr>
                <w:rFonts w:hint="eastAsia"/>
                <w:sz w:val="21"/>
                <w:szCs w:val="21"/>
              </w:rPr>
              <w:t>轴数检测精度：≥99%</w:t>
            </w:r>
          </w:p>
          <w:p>
            <w:pPr>
              <w:spacing w:after="156" w:line="240" w:lineRule="auto"/>
              <w:ind w:firstLine="0" w:firstLineChars="0"/>
              <w:rPr>
                <w:sz w:val="21"/>
                <w:szCs w:val="21"/>
              </w:rPr>
            </w:pPr>
            <w:r>
              <w:rPr>
                <w:rFonts w:hint="eastAsia"/>
                <w:sz w:val="21"/>
                <w:szCs w:val="21"/>
              </w:rPr>
              <w:t>安装后不影响车辆通行</w:t>
            </w:r>
          </w:p>
          <w:p>
            <w:pPr>
              <w:spacing w:after="156" w:line="240" w:lineRule="auto"/>
              <w:ind w:firstLine="0" w:firstLineChars="0"/>
              <w:rPr>
                <w:spacing w:val="-4"/>
                <w:sz w:val="21"/>
                <w:szCs w:val="21"/>
              </w:rPr>
            </w:pPr>
            <w:r>
              <w:rPr>
                <w:rFonts w:hint="eastAsia"/>
                <w:sz w:val="21"/>
                <w:szCs w:val="21"/>
              </w:rPr>
              <w:t>工作温度：-35℃～65℃</w:t>
            </w:r>
            <w:r>
              <w:rPr>
                <w:rFonts w:hint="eastAsia"/>
                <w:spacing w:val="-1"/>
                <w:sz w:val="21"/>
                <w:szCs w:val="21"/>
              </w:rPr>
              <w:t>、工作环境湿度：</w:t>
            </w:r>
            <w:r>
              <w:rPr>
                <w:rFonts w:hint="eastAsia"/>
                <w:spacing w:val="-4"/>
                <w:sz w:val="21"/>
                <w:szCs w:val="21"/>
              </w:rPr>
              <w:t>≤95％</w:t>
            </w:r>
          </w:p>
          <w:p>
            <w:pPr>
              <w:spacing w:after="156" w:line="240" w:lineRule="auto"/>
              <w:ind w:firstLine="0" w:firstLineChars="0"/>
              <w:rPr>
                <w:sz w:val="21"/>
                <w:szCs w:val="21"/>
              </w:rPr>
            </w:pPr>
            <w:r>
              <w:rPr>
                <w:rFonts w:hint="eastAsia"/>
                <w:sz w:val="21"/>
                <w:szCs w:val="21"/>
              </w:rPr>
              <w:t>使用寿命：不少于5年</w:t>
            </w:r>
          </w:p>
          <w:p>
            <w:pPr>
              <w:spacing w:after="156" w:line="240" w:lineRule="auto"/>
              <w:ind w:firstLine="0" w:firstLineChars="0"/>
              <w:rPr>
                <w:sz w:val="21"/>
                <w:szCs w:val="21"/>
              </w:rPr>
            </w:pPr>
            <w:r>
              <w:rPr>
                <w:rFonts w:hint="eastAsia"/>
                <w:sz w:val="21"/>
                <w:szCs w:val="21"/>
              </w:rPr>
              <w:t>环境适用性：应具有防腐、防水等抗恶劣环境性能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807" w:type="pct"/>
            <w:vMerge w:val="continue"/>
            <w:vAlign w:val="center"/>
          </w:tcPr>
          <w:p>
            <w:pPr>
              <w:spacing w:after="156" w:line="240" w:lineRule="auto"/>
              <w:ind w:firstLine="0" w:firstLineChars="0"/>
              <w:rPr>
                <w:sz w:val="21"/>
                <w:szCs w:val="21"/>
              </w:rPr>
            </w:pPr>
          </w:p>
        </w:tc>
        <w:tc>
          <w:tcPr>
            <w:tcW w:w="892" w:type="pct"/>
            <w:vAlign w:val="center"/>
          </w:tcPr>
          <w:p>
            <w:pPr>
              <w:spacing w:after="156" w:line="240" w:lineRule="auto"/>
              <w:ind w:firstLine="0" w:firstLineChars="0"/>
              <w:rPr>
                <w:sz w:val="21"/>
                <w:szCs w:val="21"/>
              </w:rPr>
            </w:pPr>
            <w:r>
              <w:rPr>
                <w:rFonts w:hint="eastAsia"/>
                <w:sz w:val="21"/>
                <w:szCs w:val="21"/>
              </w:rPr>
              <w:t>车船撞击</w:t>
            </w:r>
          </w:p>
          <w:p>
            <w:pPr>
              <w:spacing w:after="156" w:line="240" w:lineRule="auto"/>
              <w:ind w:firstLine="0" w:firstLineChars="0"/>
              <w:rPr>
                <w:sz w:val="21"/>
                <w:szCs w:val="21"/>
              </w:rPr>
            </w:pPr>
            <w:r>
              <w:rPr>
                <w:rFonts w:hint="eastAsia"/>
                <w:sz w:val="21"/>
                <w:szCs w:val="21"/>
              </w:rPr>
              <w:t>（加速度）</w:t>
            </w:r>
          </w:p>
        </w:tc>
        <w:tc>
          <w:tcPr>
            <w:tcW w:w="3301" w:type="pct"/>
            <w:vAlign w:val="center"/>
          </w:tcPr>
          <w:p>
            <w:pPr>
              <w:spacing w:after="156" w:line="240" w:lineRule="auto"/>
              <w:ind w:firstLine="0" w:firstLineChars="0"/>
              <w:rPr>
                <w:sz w:val="21"/>
                <w:szCs w:val="21"/>
              </w:rPr>
            </w:pPr>
            <w:r>
              <w:rPr>
                <w:rFonts w:hint="eastAsia"/>
                <w:sz w:val="21"/>
                <w:szCs w:val="21"/>
              </w:rPr>
              <w:t>带宽：0.1Hz～1,000Hz</w:t>
            </w:r>
          </w:p>
          <w:p>
            <w:pPr>
              <w:spacing w:after="156" w:line="240" w:lineRule="auto"/>
              <w:ind w:firstLine="0" w:firstLineChars="0"/>
              <w:rPr>
                <w:sz w:val="21"/>
                <w:szCs w:val="21"/>
              </w:rPr>
            </w:pPr>
            <w:r>
              <w:rPr>
                <w:rFonts w:hint="eastAsia"/>
                <w:sz w:val="21"/>
                <w:szCs w:val="21"/>
              </w:rPr>
              <w:t>量程：±20g</w:t>
            </w:r>
          </w:p>
          <w:p>
            <w:pPr>
              <w:spacing w:after="156" w:line="240" w:lineRule="auto"/>
              <w:ind w:firstLine="0" w:firstLineChars="0"/>
              <w:rPr>
                <w:sz w:val="21"/>
                <w:szCs w:val="21"/>
              </w:rPr>
            </w:pPr>
            <w:r>
              <w:rPr>
                <w:rFonts w:hint="eastAsia"/>
                <w:sz w:val="21"/>
                <w:szCs w:val="21"/>
              </w:rPr>
              <w:t>横向灵敏度：5%</w:t>
            </w:r>
          </w:p>
          <w:p>
            <w:pPr>
              <w:spacing w:after="156" w:line="240" w:lineRule="auto"/>
              <w:ind w:firstLine="0" w:firstLineChars="0"/>
              <w:rPr>
                <w:sz w:val="21"/>
                <w:szCs w:val="21"/>
              </w:rPr>
            </w:pPr>
            <w:r>
              <w:rPr>
                <w:rFonts w:hint="eastAsia"/>
                <w:sz w:val="21"/>
                <w:szCs w:val="21"/>
              </w:rPr>
              <w:t>使用寿命：不少于5年</w:t>
            </w:r>
          </w:p>
          <w:p>
            <w:pPr>
              <w:spacing w:after="156" w:line="240" w:lineRule="auto"/>
              <w:ind w:firstLine="0" w:firstLineChars="0"/>
              <w:rPr>
                <w:sz w:val="21"/>
                <w:szCs w:val="21"/>
              </w:rPr>
            </w:pPr>
            <w:r>
              <w:rPr>
                <w:rFonts w:hint="eastAsia"/>
                <w:sz w:val="21"/>
                <w:szCs w:val="21"/>
              </w:rPr>
              <w:t>环境适用性：应具有防腐、防水等抗恶劣环境性能</w:t>
            </w:r>
          </w:p>
          <w:p>
            <w:pPr>
              <w:spacing w:after="156" w:line="240" w:lineRule="auto"/>
              <w:ind w:firstLine="0" w:firstLineChars="0"/>
              <w:rPr>
                <w:sz w:val="21"/>
                <w:szCs w:val="21"/>
                <w:lang w:eastAsia="en-US"/>
              </w:rPr>
            </w:pPr>
            <w:r>
              <w:rPr>
                <w:rFonts w:hint="eastAsia"/>
                <w:sz w:val="21"/>
                <w:szCs w:val="21"/>
                <w:lang w:eastAsia="en-US"/>
              </w:rPr>
              <w:t>防护等级：IP67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9" w:hRule="atLeast"/>
        </w:trPr>
        <w:tc>
          <w:tcPr>
            <w:tcW w:w="807" w:type="pct"/>
            <w:vMerge w:val="continue"/>
            <w:vAlign w:val="center"/>
          </w:tcPr>
          <w:p>
            <w:pPr>
              <w:spacing w:after="156" w:line="240" w:lineRule="auto"/>
              <w:ind w:firstLine="0" w:firstLineChars="0"/>
              <w:rPr>
                <w:sz w:val="21"/>
                <w:szCs w:val="21"/>
              </w:rPr>
            </w:pPr>
          </w:p>
        </w:tc>
        <w:tc>
          <w:tcPr>
            <w:tcW w:w="892" w:type="pct"/>
            <w:vAlign w:val="center"/>
          </w:tcPr>
          <w:p>
            <w:pPr>
              <w:spacing w:after="156" w:line="240" w:lineRule="auto"/>
              <w:ind w:firstLine="0" w:firstLineChars="0"/>
              <w:rPr>
                <w:sz w:val="21"/>
                <w:szCs w:val="21"/>
              </w:rPr>
            </w:pPr>
            <w:r>
              <w:rPr>
                <w:rFonts w:hint="eastAsia"/>
                <w:sz w:val="21"/>
                <w:szCs w:val="21"/>
              </w:rPr>
              <w:t>地震荷载</w:t>
            </w:r>
          </w:p>
          <w:p>
            <w:pPr>
              <w:spacing w:after="156" w:line="240" w:lineRule="auto"/>
              <w:ind w:firstLine="0" w:firstLineChars="0"/>
              <w:rPr>
                <w:sz w:val="21"/>
                <w:szCs w:val="21"/>
              </w:rPr>
            </w:pPr>
            <w:r>
              <w:rPr>
                <w:rFonts w:hint="eastAsia"/>
                <w:sz w:val="21"/>
                <w:szCs w:val="21"/>
              </w:rPr>
              <w:t>（三向加速度）</w:t>
            </w:r>
          </w:p>
        </w:tc>
        <w:tc>
          <w:tcPr>
            <w:tcW w:w="3301" w:type="pct"/>
            <w:vAlign w:val="center"/>
          </w:tcPr>
          <w:p>
            <w:pPr>
              <w:spacing w:after="156" w:line="240" w:lineRule="auto"/>
              <w:ind w:firstLine="0" w:firstLineChars="0"/>
              <w:rPr>
                <w:sz w:val="21"/>
                <w:szCs w:val="21"/>
              </w:rPr>
            </w:pPr>
            <w:r>
              <w:rPr>
                <w:rFonts w:hint="eastAsia"/>
                <w:sz w:val="21"/>
                <w:szCs w:val="21"/>
              </w:rPr>
              <w:t>方向：XYZ三方向</w:t>
            </w:r>
          </w:p>
          <w:p>
            <w:pPr>
              <w:spacing w:after="156" w:line="240" w:lineRule="auto"/>
              <w:ind w:firstLine="0" w:firstLineChars="0"/>
              <w:rPr>
                <w:spacing w:val="-12"/>
                <w:sz w:val="21"/>
                <w:szCs w:val="21"/>
              </w:rPr>
            </w:pPr>
            <w:r>
              <w:rPr>
                <w:rFonts w:hint="eastAsia"/>
                <w:sz w:val="21"/>
                <w:szCs w:val="21"/>
              </w:rPr>
              <w:t>带宽：0.1Hz～500</w:t>
            </w:r>
            <w:r>
              <w:rPr>
                <w:rFonts w:hint="eastAsia"/>
                <w:spacing w:val="-12"/>
                <w:sz w:val="21"/>
                <w:szCs w:val="21"/>
              </w:rPr>
              <w:t>Hz</w:t>
            </w:r>
          </w:p>
          <w:p>
            <w:pPr>
              <w:spacing w:after="156" w:line="240" w:lineRule="auto"/>
              <w:ind w:firstLine="0" w:firstLineChars="0"/>
              <w:rPr>
                <w:sz w:val="21"/>
                <w:szCs w:val="21"/>
              </w:rPr>
            </w:pPr>
            <w:r>
              <w:rPr>
                <w:rFonts w:hint="eastAsia"/>
                <w:sz w:val="21"/>
                <w:szCs w:val="21"/>
              </w:rPr>
              <w:t>量程：±2g</w:t>
            </w:r>
          </w:p>
          <w:p>
            <w:pPr>
              <w:spacing w:after="156" w:line="240" w:lineRule="auto"/>
              <w:ind w:firstLine="0" w:firstLineChars="0"/>
              <w:rPr>
                <w:sz w:val="21"/>
                <w:szCs w:val="21"/>
              </w:rPr>
            </w:pPr>
            <w:r>
              <w:rPr>
                <w:rFonts w:hint="eastAsia"/>
                <w:sz w:val="21"/>
                <w:szCs w:val="21"/>
              </w:rPr>
              <w:t>灵敏度：2,000mV/g</w:t>
            </w:r>
          </w:p>
          <w:p>
            <w:pPr>
              <w:spacing w:after="156" w:line="240" w:lineRule="auto"/>
              <w:ind w:firstLine="0" w:firstLineChars="0"/>
              <w:rPr>
                <w:sz w:val="21"/>
                <w:szCs w:val="21"/>
              </w:rPr>
            </w:pPr>
            <w:r>
              <w:rPr>
                <w:rFonts w:hint="eastAsia"/>
                <w:sz w:val="21"/>
                <w:szCs w:val="21"/>
              </w:rPr>
              <w:t>使用寿命：不少于5年</w:t>
            </w:r>
          </w:p>
          <w:p>
            <w:pPr>
              <w:spacing w:after="156" w:line="240" w:lineRule="auto"/>
              <w:ind w:firstLine="0" w:firstLineChars="0"/>
              <w:rPr>
                <w:sz w:val="21"/>
                <w:szCs w:val="21"/>
              </w:rPr>
            </w:pPr>
            <w:r>
              <w:rPr>
                <w:rFonts w:hint="eastAsia"/>
                <w:sz w:val="21"/>
                <w:szCs w:val="21"/>
              </w:rPr>
              <w:t>环境适用性：应具有防腐、防水等抗恶劣环境性能防护等级：IP67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07" w:type="pct"/>
            <w:vMerge w:val="continue"/>
            <w:vAlign w:val="center"/>
          </w:tcPr>
          <w:p>
            <w:pPr>
              <w:spacing w:after="156" w:line="240" w:lineRule="auto"/>
              <w:ind w:firstLine="0" w:firstLineChars="0"/>
              <w:rPr>
                <w:sz w:val="21"/>
                <w:szCs w:val="21"/>
              </w:rPr>
            </w:pPr>
          </w:p>
        </w:tc>
        <w:tc>
          <w:tcPr>
            <w:tcW w:w="892" w:type="pct"/>
            <w:vAlign w:val="center"/>
          </w:tcPr>
          <w:p>
            <w:pPr>
              <w:spacing w:after="156" w:line="240" w:lineRule="auto"/>
              <w:ind w:firstLine="0" w:firstLineChars="0"/>
              <w:rPr>
                <w:sz w:val="21"/>
                <w:szCs w:val="21"/>
              </w:rPr>
            </w:pPr>
            <w:r>
              <w:rPr>
                <w:rFonts w:hint="eastAsia"/>
                <w:sz w:val="21"/>
                <w:szCs w:val="21"/>
              </w:rPr>
              <w:t>视频摄像</w:t>
            </w:r>
          </w:p>
        </w:tc>
        <w:tc>
          <w:tcPr>
            <w:tcW w:w="3301" w:type="pct"/>
            <w:vAlign w:val="center"/>
          </w:tcPr>
          <w:p>
            <w:pPr>
              <w:spacing w:after="156" w:line="240" w:lineRule="auto"/>
              <w:ind w:firstLine="0" w:firstLineChars="0"/>
              <w:rPr>
                <w:sz w:val="21"/>
                <w:szCs w:val="21"/>
              </w:rPr>
            </w:pPr>
            <w:r>
              <w:rPr>
                <w:rFonts w:hint="eastAsia"/>
                <w:spacing w:val="-13"/>
                <w:sz w:val="21"/>
                <w:szCs w:val="21"/>
              </w:rPr>
              <w:t>具备自清洁功能；远程调节；支持</w:t>
            </w:r>
            <w:r>
              <w:rPr>
                <w:rFonts w:hint="eastAsia"/>
                <w:sz w:val="21"/>
                <w:szCs w:val="21"/>
              </w:rPr>
              <w:t>180</w:t>
            </w:r>
            <w:r>
              <w:rPr>
                <w:rFonts w:hint="eastAsia"/>
                <w:spacing w:val="-4"/>
                <w:sz w:val="21"/>
                <w:szCs w:val="21"/>
              </w:rPr>
              <w:t>度大范围全</w:t>
            </w:r>
            <w:r>
              <w:rPr>
                <w:rFonts w:hint="eastAsia"/>
                <w:sz w:val="21"/>
                <w:szCs w:val="21"/>
              </w:rPr>
              <w:t>景；宜具备透雾功能；自动录像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9" w:hRule="atLeast"/>
        </w:trPr>
        <w:tc>
          <w:tcPr>
            <w:tcW w:w="807" w:type="pct"/>
            <w:vMerge w:val="restart"/>
            <w:vAlign w:val="center"/>
          </w:tcPr>
          <w:p>
            <w:pPr>
              <w:spacing w:after="156" w:line="240" w:lineRule="auto"/>
              <w:ind w:firstLine="0" w:firstLineChars="0"/>
              <w:rPr>
                <w:sz w:val="21"/>
                <w:szCs w:val="21"/>
              </w:rPr>
            </w:pPr>
            <w:r>
              <w:rPr>
                <w:rFonts w:hint="eastAsia"/>
                <w:sz w:val="21"/>
                <w:szCs w:val="21"/>
              </w:rPr>
              <w:t>气象环境</w:t>
            </w:r>
          </w:p>
        </w:tc>
        <w:tc>
          <w:tcPr>
            <w:tcW w:w="892" w:type="pct"/>
            <w:vAlign w:val="center"/>
          </w:tcPr>
          <w:p>
            <w:pPr>
              <w:spacing w:after="156" w:line="240" w:lineRule="auto"/>
              <w:ind w:firstLine="0" w:firstLineChars="0"/>
              <w:rPr>
                <w:sz w:val="21"/>
                <w:szCs w:val="21"/>
              </w:rPr>
            </w:pPr>
            <w:r>
              <w:rPr>
                <w:rFonts w:hint="eastAsia"/>
                <w:sz w:val="21"/>
                <w:szCs w:val="21"/>
              </w:rPr>
              <w:t>温度</w:t>
            </w:r>
          </w:p>
        </w:tc>
        <w:tc>
          <w:tcPr>
            <w:tcW w:w="3301" w:type="pct"/>
            <w:vAlign w:val="center"/>
          </w:tcPr>
          <w:p>
            <w:pPr>
              <w:spacing w:after="156" w:line="240" w:lineRule="auto"/>
              <w:ind w:firstLine="0" w:firstLineChars="0"/>
              <w:rPr>
                <w:sz w:val="21"/>
                <w:szCs w:val="21"/>
                <w:lang w:eastAsia="en-US"/>
              </w:rPr>
            </w:pPr>
            <w:r>
              <w:rPr>
                <w:rFonts w:hint="eastAsia"/>
                <w:sz w:val="21"/>
                <w:szCs w:val="21"/>
                <w:lang w:eastAsia="en-US"/>
              </w:rPr>
              <w:t>量程：-30℃</w:t>
            </w:r>
            <w:r>
              <w:rPr>
                <w:rFonts w:hint="eastAsia"/>
                <w:sz w:val="21"/>
                <w:szCs w:val="21"/>
              </w:rPr>
              <w:t>～</w:t>
            </w:r>
            <w:r>
              <w:rPr>
                <w:rFonts w:hint="eastAsia"/>
                <w:sz w:val="21"/>
                <w:szCs w:val="21"/>
                <w:lang w:eastAsia="en-US"/>
              </w:rPr>
              <w:t>80℃</w:t>
            </w:r>
          </w:p>
          <w:p>
            <w:pPr>
              <w:spacing w:after="156" w:line="240" w:lineRule="auto"/>
              <w:ind w:firstLine="0" w:firstLineChars="0"/>
              <w:rPr>
                <w:sz w:val="21"/>
                <w:szCs w:val="21"/>
                <w:lang w:eastAsia="en-US"/>
              </w:rPr>
            </w:pPr>
            <w:r>
              <w:rPr>
                <w:rFonts w:hint="eastAsia"/>
                <w:sz w:val="21"/>
                <w:szCs w:val="21"/>
                <w:lang w:eastAsia="en-US"/>
              </w:rPr>
              <w:t>精度：±0.5℃</w:t>
            </w:r>
          </w:p>
          <w:p>
            <w:pPr>
              <w:spacing w:after="156" w:line="240" w:lineRule="auto"/>
              <w:ind w:firstLine="0" w:firstLineChars="0"/>
              <w:rPr>
                <w:sz w:val="21"/>
                <w:szCs w:val="21"/>
              </w:rPr>
            </w:pPr>
            <w:r>
              <w:rPr>
                <w:rFonts w:hint="eastAsia"/>
                <w:sz w:val="21"/>
                <w:szCs w:val="21"/>
              </w:rPr>
              <w:t>分辨率：0.1℃</w:t>
            </w:r>
          </w:p>
          <w:p>
            <w:pPr>
              <w:spacing w:after="156" w:line="240" w:lineRule="auto"/>
              <w:ind w:firstLine="0" w:firstLineChars="0"/>
              <w:rPr>
                <w:sz w:val="21"/>
                <w:szCs w:val="21"/>
              </w:rPr>
            </w:pPr>
            <w:r>
              <w:rPr>
                <w:rFonts w:hint="eastAsia"/>
                <w:sz w:val="21"/>
                <w:szCs w:val="21"/>
              </w:rPr>
              <w:t>响应时间：≤0.5min</w:t>
            </w:r>
          </w:p>
          <w:p>
            <w:pPr>
              <w:spacing w:after="156" w:line="240" w:lineRule="auto"/>
              <w:ind w:firstLine="0" w:firstLineChars="0"/>
              <w:rPr>
                <w:sz w:val="21"/>
                <w:szCs w:val="21"/>
              </w:rPr>
            </w:pPr>
            <w:r>
              <w:rPr>
                <w:rFonts w:hint="eastAsia"/>
                <w:sz w:val="21"/>
                <w:szCs w:val="21"/>
              </w:rPr>
              <w:t>寿命：不少于5年</w:t>
            </w:r>
          </w:p>
          <w:p>
            <w:pPr>
              <w:spacing w:after="156" w:line="240" w:lineRule="auto"/>
              <w:ind w:firstLine="0" w:firstLineChars="0"/>
              <w:rPr>
                <w:sz w:val="21"/>
                <w:szCs w:val="21"/>
              </w:rPr>
            </w:pPr>
            <w:r>
              <w:rPr>
                <w:rFonts w:hint="eastAsia"/>
                <w:sz w:val="21"/>
                <w:szCs w:val="21"/>
              </w:rPr>
              <w:t>环境适用性：应具有防腐、防水等抗恶劣环境性能防护等级：IP67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807" w:type="pct"/>
            <w:vMerge w:val="continue"/>
            <w:vAlign w:val="center"/>
          </w:tcPr>
          <w:p>
            <w:pPr>
              <w:spacing w:after="156" w:line="240" w:lineRule="auto"/>
              <w:ind w:firstLine="0" w:firstLineChars="0"/>
              <w:rPr>
                <w:sz w:val="21"/>
                <w:szCs w:val="21"/>
              </w:rPr>
            </w:pPr>
          </w:p>
        </w:tc>
        <w:tc>
          <w:tcPr>
            <w:tcW w:w="892" w:type="pct"/>
            <w:vAlign w:val="center"/>
          </w:tcPr>
          <w:p>
            <w:pPr>
              <w:spacing w:after="156" w:line="240" w:lineRule="auto"/>
              <w:ind w:firstLine="0" w:firstLineChars="0"/>
              <w:rPr>
                <w:sz w:val="21"/>
                <w:szCs w:val="21"/>
              </w:rPr>
            </w:pPr>
            <w:r>
              <w:rPr>
                <w:rFonts w:hint="eastAsia"/>
                <w:sz w:val="21"/>
                <w:szCs w:val="21"/>
              </w:rPr>
              <w:t>湿度</w:t>
            </w:r>
          </w:p>
        </w:tc>
        <w:tc>
          <w:tcPr>
            <w:tcW w:w="3301" w:type="pct"/>
            <w:vAlign w:val="center"/>
          </w:tcPr>
          <w:p>
            <w:pPr>
              <w:spacing w:after="156" w:line="240" w:lineRule="auto"/>
              <w:ind w:firstLine="0" w:firstLineChars="0"/>
              <w:rPr>
                <w:sz w:val="21"/>
                <w:szCs w:val="21"/>
                <w:lang w:eastAsia="en-US"/>
              </w:rPr>
            </w:pPr>
            <w:r>
              <w:rPr>
                <w:rFonts w:hint="eastAsia"/>
                <w:sz w:val="21"/>
                <w:szCs w:val="21"/>
                <w:lang w:eastAsia="en-US"/>
              </w:rPr>
              <w:t>量程：</w:t>
            </w:r>
            <w:r>
              <w:rPr>
                <w:rFonts w:hint="eastAsia"/>
                <w:sz w:val="21"/>
                <w:szCs w:val="21"/>
              </w:rPr>
              <w:t>0</w:t>
            </w:r>
            <w:r>
              <w:rPr>
                <w:rFonts w:hint="eastAsia"/>
                <w:sz w:val="21"/>
                <w:szCs w:val="21"/>
                <w:lang w:eastAsia="en-US"/>
              </w:rPr>
              <w:t>%RH</w:t>
            </w:r>
            <w:r>
              <w:rPr>
                <w:rFonts w:hint="eastAsia"/>
                <w:sz w:val="21"/>
                <w:szCs w:val="21"/>
              </w:rPr>
              <w:t>～</w:t>
            </w:r>
            <w:r>
              <w:rPr>
                <w:rFonts w:hint="eastAsia"/>
                <w:sz w:val="21"/>
                <w:szCs w:val="21"/>
                <w:lang w:eastAsia="en-US"/>
              </w:rPr>
              <w:t>99%RH</w:t>
            </w:r>
          </w:p>
          <w:p>
            <w:pPr>
              <w:spacing w:after="156" w:line="240" w:lineRule="auto"/>
              <w:ind w:firstLine="0" w:firstLineChars="0"/>
              <w:rPr>
                <w:sz w:val="21"/>
                <w:szCs w:val="21"/>
                <w:lang w:eastAsia="en-US"/>
              </w:rPr>
            </w:pPr>
            <w:r>
              <w:rPr>
                <w:rFonts w:hint="eastAsia"/>
                <w:sz w:val="21"/>
                <w:szCs w:val="21"/>
                <w:lang w:eastAsia="en-US"/>
              </w:rPr>
              <w:t>精度：2%RH</w:t>
            </w:r>
          </w:p>
          <w:p>
            <w:pPr>
              <w:spacing w:after="156" w:line="240" w:lineRule="auto"/>
              <w:ind w:firstLine="0" w:firstLineChars="0"/>
              <w:rPr>
                <w:sz w:val="21"/>
                <w:szCs w:val="21"/>
              </w:rPr>
            </w:pPr>
            <w:r>
              <w:rPr>
                <w:rFonts w:hint="eastAsia"/>
                <w:sz w:val="21"/>
                <w:szCs w:val="21"/>
              </w:rPr>
              <w:t>响应时间：不超过0.5min</w:t>
            </w:r>
          </w:p>
          <w:p>
            <w:pPr>
              <w:spacing w:after="156" w:line="240" w:lineRule="auto"/>
              <w:ind w:firstLine="0" w:firstLineChars="0"/>
              <w:rPr>
                <w:sz w:val="21"/>
                <w:szCs w:val="21"/>
              </w:rPr>
            </w:pPr>
            <w:r>
              <w:rPr>
                <w:rFonts w:hint="eastAsia"/>
                <w:sz w:val="21"/>
                <w:szCs w:val="21"/>
              </w:rPr>
              <w:t>寿命：不少于5年</w:t>
            </w:r>
          </w:p>
          <w:p>
            <w:pPr>
              <w:spacing w:after="156" w:line="240" w:lineRule="auto"/>
              <w:ind w:firstLine="0" w:firstLineChars="0"/>
              <w:rPr>
                <w:sz w:val="21"/>
                <w:szCs w:val="21"/>
              </w:rPr>
            </w:pPr>
            <w:r>
              <w:rPr>
                <w:rFonts w:hint="eastAsia"/>
                <w:sz w:val="21"/>
                <w:szCs w:val="21"/>
              </w:rPr>
              <w:t>环境适用性：应具有防腐、防水等抗恶劣环境性能防护等级：IP67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9" w:hRule="atLeast"/>
        </w:trPr>
        <w:tc>
          <w:tcPr>
            <w:tcW w:w="807" w:type="pct"/>
            <w:vMerge w:val="continue"/>
            <w:vAlign w:val="center"/>
          </w:tcPr>
          <w:p>
            <w:pPr>
              <w:spacing w:after="156" w:line="240" w:lineRule="auto"/>
              <w:ind w:firstLine="0" w:firstLineChars="0"/>
              <w:rPr>
                <w:sz w:val="21"/>
                <w:szCs w:val="21"/>
              </w:rPr>
            </w:pPr>
          </w:p>
        </w:tc>
        <w:tc>
          <w:tcPr>
            <w:tcW w:w="892" w:type="pct"/>
            <w:vAlign w:val="center"/>
          </w:tcPr>
          <w:p>
            <w:pPr>
              <w:spacing w:after="156" w:line="240" w:lineRule="auto"/>
              <w:ind w:firstLine="0" w:firstLineChars="0"/>
              <w:rPr>
                <w:sz w:val="21"/>
                <w:szCs w:val="21"/>
              </w:rPr>
            </w:pPr>
            <w:r>
              <w:rPr>
                <w:rFonts w:hint="eastAsia"/>
                <w:sz w:val="21"/>
                <w:szCs w:val="21"/>
              </w:rPr>
              <w:t>风速</w:t>
            </w:r>
          </w:p>
        </w:tc>
        <w:tc>
          <w:tcPr>
            <w:tcW w:w="3301" w:type="pct"/>
            <w:vAlign w:val="center"/>
          </w:tcPr>
          <w:p>
            <w:pPr>
              <w:spacing w:after="156" w:line="240" w:lineRule="auto"/>
              <w:ind w:firstLine="0" w:firstLineChars="0"/>
              <w:rPr>
                <w:sz w:val="21"/>
                <w:szCs w:val="21"/>
                <w:lang w:eastAsia="en-US"/>
              </w:rPr>
            </w:pPr>
            <w:r>
              <w:rPr>
                <w:rFonts w:hint="eastAsia"/>
                <w:sz w:val="21"/>
                <w:szCs w:val="21"/>
                <w:lang w:eastAsia="en-US"/>
              </w:rPr>
              <w:t>测量范围：（0</w:t>
            </w:r>
            <w:r>
              <w:rPr>
                <w:rFonts w:hint="eastAsia"/>
                <w:sz w:val="21"/>
                <w:szCs w:val="21"/>
              </w:rPr>
              <w:t>～</w:t>
            </w:r>
            <w:r>
              <w:rPr>
                <w:rFonts w:hint="eastAsia"/>
                <w:sz w:val="21"/>
                <w:szCs w:val="21"/>
                <w:lang w:eastAsia="en-US"/>
              </w:rPr>
              <w:t>70）m/s</w:t>
            </w:r>
          </w:p>
          <w:p>
            <w:pPr>
              <w:spacing w:after="156" w:line="240" w:lineRule="auto"/>
              <w:ind w:firstLine="0" w:firstLineChars="0"/>
              <w:rPr>
                <w:sz w:val="21"/>
                <w:szCs w:val="21"/>
                <w:lang w:eastAsia="en-US"/>
              </w:rPr>
            </w:pPr>
            <w:r>
              <w:rPr>
                <w:rFonts w:hint="eastAsia"/>
                <w:sz w:val="21"/>
                <w:szCs w:val="21"/>
                <w:lang w:eastAsia="en-US"/>
              </w:rPr>
              <w:t>精度：±0.1m/s</w:t>
            </w:r>
          </w:p>
          <w:p>
            <w:pPr>
              <w:spacing w:after="156" w:line="240" w:lineRule="auto"/>
              <w:ind w:firstLine="0" w:firstLineChars="0"/>
              <w:rPr>
                <w:sz w:val="21"/>
                <w:szCs w:val="21"/>
                <w:lang w:eastAsia="en-US"/>
              </w:rPr>
            </w:pPr>
            <w:r>
              <w:rPr>
                <w:rFonts w:hint="eastAsia"/>
                <w:sz w:val="21"/>
                <w:szCs w:val="21"/>
                <w:lang w:eastAsia="en-US"/>
              </w:rPr>
              <w:t>分辨率：0.1m/s</w:t>
            </w:r>
          </w:p>
          <w:p>
            <w:pPr>
              <w:spacing w:after="156" w:line="240" w:lineRule="auto"/>
              <w:ind w:firstLine="0" w:firstLineChars="0"/>
              <w:rPr>
                <w:sz w:val="21"/>
                <w:szCs w:val="21"/>
                <w:lang w:eastAsia="en-US"/>
              </w:rPr>
            </w:pPr>
            <w:r>
              <w:rPr>
                <w:rFonts w:hint="eastAsia"/>
                <w:sz w:val="21"/>
                <w:szCs w:val="21"/>
                <w:lang w:eastAsia="en-US"/>
              </w:rPr>
              <w:t>测量启动风速：≤0.8m/s</w:t>
            </w:r>
          </w:p>
          <w:p>
            <w:pPr>
              <w:spacing w:after="156" w:line="240" w:lineRule="auto"/>
              <w:ind w:firstLine="0" w:firstLineChars="0"/>
              <w:rPr>
                <w:sz w:val="21"/>
                <w:szCs w:val="21"/>
                <w:lang w:eastAsia="en-US"/>
              </w:rPr>
            </w:pPr>
            <w:r>
              <w:rPr>
                <w:rFonts w:hint="eastAsia"/>
                <w:sz w:val="21"/>
                <w:szCs w:val="21"/>
                <w:lang w:eastAsia="en-US"/>
              </w:rPr>
              <w:t>寿命：不少于5年</w:t>
            </w:r>
          </w:p>
          <w:p>
            <w:pPr>
              <w:spacing w:after="156" w:line="240" w:lineRule="auto"/>
              <w:ind w:firstLine="0" w:firstLineChars="0"/>
              <w:rPr>
                <w:sz w:val="21"/>
                <w:szCs w:val="21"/>
              </w:rPr>
            </w:pPr>
            <w:r>
              <w:rPr>
                <w:rFonts w:hint="eastAsia"/>
                <w:sz w:val="21"/>
                <w:szCs w:val="21"/>
              </w:rPr>
              <w:t>环境适用性：应具有防腐、防水等抗恶劣环境性能防护等级：IP67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807" w:type="pct"/>
            <w:vMerge w:val="continue"/>
            <w:vAlign w:val="center"/>
          </w:tcPr>
          <w:p>
            <w:pPr>
              <w:spacing w:after="156" w:line="240" w:lineRule="auto"/>
              <w:ind w:firstLine="0" w:firstLineChars="0"/>
              <w:rPr>
                <w:sz w:val="21"/>
                <w:szCs w:val="21"/>
              </w:rPr>
            </w:pPr>
          </w:p>
        </w:tc>
        <w:tc>
          <w:tcPr>
            <w:tcW w:w="892" w:type="pct"/>
            <w:vAlign w:val="center"/>
          </w:tcPr>
          <w:p>
            <w:pPr>
              <w:spacing w:after="156" w:line="240" w:lineRule="auto"/>
              <w:ind w:firstLine="0" w:firstLineChars="0"/>
              <w:rPr>
                <w:sz w:val="21"/>
                <w:szCs w:val="21"/>
              </w:rPr>
            </w:pPr>
            <w:r>
              <w:rPr>
                <w:rFonts w:hint="eastAsia"/>
                <w:sz w:val="21"/>
                <w:szCs w:val="21"/>
              </w:rPr>
              <w:t>风向</w:t>
            </w:r>
          </w:p>
        </w:tc>
        <w:tc>
          <w:tcPr>
            <w:tcW w:w="3301" w:type="pct"/>
            <w:vAlign w:val="center"/>
          </w:tcPr>
          <w:p>
            <w:pPr>
              <w:spacing w:after="156" w:line="240" w:lineRule="auto"/>
              <w:ind w:firstLine="0" w:firstLineChars="0"/>
              <w:rPr>
                <w:sz w:val="21"/>
                <w:szCs w:val="21"/>
                <w:lang w:eastAsia="en-US"/>
              </w:rPr>
            </w:pPr>
            <w:r>
              <w:rPr>
                <w:rFonts w:hint="eastAsia"/>
                <w:sz w:val="21"/>
                <w:szCs w:val="21"/>
                <w:lang w:eastAsia="en-US"/>
              </w:rPr>
              <w:t>测量范围：0°</w:t>
            </w:r>
            <w:r>
              <w:rPr>
                <w:rFonts w:hint="eastAsia"/>
                <w:sz w:val="21"/>
                <w:szCs w:val="21"/>
              </w:rPr>
              <w:t>～</w:t>
            </w:r>
            <w:r>
              <w:rPr>
                <w:rFonts w:hint="eastAsia"/>
                <w:sz w:val="21"/>
                <w:szCs w:val="21"/>
                <w:lang w:eastAsia="en-US"/>
              </w:rPr>
              <w:t>360°</w:t>
            </w:r>
          </w:p>
          <w:p>
            <w:pPr>
              <w:spacing w:after="156" w:line="240" w:lineRule="auto"/>
              <w:ind w:firstLine="0" w:firstLineChars="0"/>
              <w:rPr>
                <w:sz w:val="21"/>
                <w:szCs w:val="21"/>
                <w:lang w:eastAsia="en-US"/>
              </w:rPr>
            </w:pPr>
            <w:r>
              <w:rPr>
                <w:rFonts w:hint="eastAsia"/>
                <w:sz w:val="21"/>
                <w:szCs w:val="21"/>
                <w:lang w:eastAsia="en-US"/>
              </w:rPr>
              <w:t>精度：±2°，1m/s-30m/s时；±5°，30m/s-65m/s时</w:t>
            </w:r>
          </w:p>
          <w:p>
            <w:pPr>
              <w:spacing w:after="156" w:line="240" w:lineRule="auto"/>
              <w:ind w:firstLine="0" w:firstLineChars="0"/>
              <w:rPr>
                <w:sz w:val="21"/>
                <w:szCs w:val="21"/>
                <w:lang w:eastAsia="en-US"/>
              </w:rPr>
            </w:pPr>
            <w:r>
              <w:rPr>
                <w:rFonts w:hint="eastAsia"/>
                <w:sz w:val="21"/>
                <w:szCs w:val="21"/>
                <w:lang w:eastAsia="en-US"/>
              </w:rPr>
              <w:t>分辨率：0.1°</w:t>
            </w:r>
          </w:p>
          <w:p>
            <w:pPr>
              <w:spacing w:after="156" w:line="240" w:lineRule="auto"/>
              <w:ind w:firstLine="0" w:firstLineChars="0"/>
              <w:rPr>
                <w:sz w:val="21"/>
                <w:szCs w:val="21"/>
              </w:rPr>
            </w:pPr>
            <w:r>
              <w:rPr>
                <w:rFonts w:hint="eastAsia"/>
                <w:sz w:val="21"/>
                <w:szCs w:val="21"/>
              </w:rPr>
              <w:t>测量启动风速：≤0.5m/s</w:t>
            </w:r>
          </w:p>
          <w:p>
            <w:pPr>
              <w:spacing w:after="156" w:line="240" w:lineRule="auto"/>
              <w:ind w:firstLine="0" w:firstLineChars="0"/>
              <w:rPr>
                <w:sz w:val="21"/>
                <w:szCs w:val="21"/>
              </w:rPr>
            </w:pPr>
            <w:r>
              <w:rPr>
                <w:rFonts w:hint="eastAsia"/>
                <w:sz w:val="21"/>
                <w:szCs w:val="21"/>
              </w:rPr>
              <w:t>寿命：不少于5年</w:t>
            </w:r>
          </w:p>
          <w:p>
            <w:pPr>
              <w:spacing w:after="156" w:line="240" w:lineRule="auto"/>
              <w:ind w:firstLine="0" w:firstLineChars="0"/>
              <w:rPr>
                <w:sz w:val="21"/>
                <w:szCs w:val="21"/>
              </w:rPr>
            </w:pPr>
            <w:r>
              <w:rPr>
                <w:rFonts w:hint="eastAsia"/>
                <w:sz w:val="21"/>
                <w:szCs w:val="21"/>
              </w:rPr>
              <w:t>环境适用性：应具有防腐、防水等抗恶劣环境性能</w:t>
            </w:r>
          </w:p>
          <w:p>
            <w:pPr>
              <w:spacing w:after="156" w:line="240" w:lineRule="auto"/>
              <w:ind w:firstLine="0" w:firstLineChars="0"/>
              <w:rPr>
                <w:sz w:val="21"/>
                <w:szCs w:val="21"/>
                <w:lang w:eastAsia="en-US"/>
              </w:rPr>
            </w:pPr>
            <w:r>
              <w:rPr>
                <w:rFonts w:hint="eastAsia"/>
                <w:sz w:val="21"/>
                <w:szCs w:val="21"/>
                <w:lang w:eastAsia="en-US"/>
              </w:rPr>
              <w:t>防护等级：IP67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807" w:type="pct"/>
            <w:vMerge w:val="continue"/>
            <w:vAlign w:val="center"/>
          </w:tcPr>
          <w:p>
            <w:pPr>
              <w:spacing w:after="156" w:line="240" w:lineRule="auto"/>
              <w:ind w:firstLine="0" w:firstLineChars="0"/>
              <w:rPr>
                <w:sz w:val="21"/>
                <w:szCs w:val="21"/>
              </w:rPr>
            </w:pPr>
          </w:p>
        </w:tc>
        <w:tc>
          <w:tcPr>
            <w:tcW w:w="892" w:type="pct"/>
            <w:vAlign w:val="center"/>
          </w:tcPr>
          <w:p>
            <w:pPr>
              <w:spacing w:after="156" w:line="240" w:lineRule="auto"/>
              <w:ind w:firstLine="0" w:firstLineChars="0"/>
              <w:rPr>
                <w:sz w:val="21"/>
                <w:szCs w:val="21"/>
              </w:rPr>
            </w:pPr>
            <w:r>
              <w:rPr>
                <w:rFonts w:hint="eastAsia"/>
                <w:sz w:val="21"/>
                <w:szCs w:val="21"/>
              </w:rPr>
              <w:t>风压</w:t>
            </w:r>
          </w:p>
        </w:tc>
        <w:tc>
          <w:tcPr>
            <w:tcW w:w="3301" w:type="pct"/>
            <w:vAlign w:val="center"/>
          </w:tcPr>
          <w:p>
            <w:pPr>
              <w:spacing w:after="156" w:line="240" w:lineRule="auto"/>
              <w:ind w:firstLine="0" w:firstLineChars="0"/>
              <w:rPr>
                <w:sz w:val="21"/>
                <w:szCs w:val="21"/>
                <w:lang w:eastAsia="en-US"/>
              </w:rPr>
            </w:pPr>
            <w:r>
              <w:rPr>
                <w:rFonts w:hint="eastAsia"/>
                <w:sz w:val="21"/>
                <w:szCs w:val="21"/>
                <w:lang w:eastAsia="en-US"/>
              </w:rPr>
              <w:t>量程：-1,000Pa</w:t>
            </w:r>
            <w:r>
              <w:rPr>
                <w:rFonts w:hint="eastAsia"/>
                <w:sz w:val="21"/>
                <w:szCs w:val="21"/>
              </w:rPr>
              <w:t>～</w:t>
            </w:r>
            <w:r>
              <w:rPr>
                <w:rFonts w:hint="eastAsia"/>
                <w:sz w:val="21"/>
                <w:szCs w:val="21"/>
                <w:lang w:eastAsia="en-US"/>
              </w:rPr>
              <w:t>1,000Pa</w:t>
            </w:r>
          </w:p>
          <w:p>
            <w:pPr>
              <w:spacing w:after="156" w:line="240" w:lineRule="auto"/>
              <w:ind w:firstLine="0" w:firstLineChars="0"/>
              <w:rPr>
                <w:sz w:val="21"/>
                <w:szCs w:val="21"/>
                <w:lang w:eastAsia="en-US"/>
              </w:rPr>
            </w:pPr>
            <w:r>
              <w:rPr>
                <w:rFonts w:hint="eastAsia"/>
                <w:sz w:val="21"/>
                <w:szCs w:val="21"/>
                <w:lang w:eastAsia="en-US"/>
              </w:rPr>
              <w:t>精度：0.1%FS</w:t>
            </w:r>
          </w:p>
          <w:p>
            <w:pPr>
              <w:spacing w:after="156" w:line="240" w:lineRule="auto"/>
              <w:ind w:firstLine="0" w:firstLineChars="0"/>
              <w:rPr>
                <w:sz w:val="21"/>
                <w:szCs w:val="21"/>
              </w:rPr>
            </w:pPr>
            <w:r>
              <w:rPr>
                <w:rFonts w:hint="eastAsia"/>
                <w:sz w:val="21"/>
                <w:szCs w:val="21"/>
              </w:rPr>
              <w:t>寿命：不少于5年</w:t>
            </w:r>
          </w:p>
          <w:p>
            <w:pPr>
              <w:spacing w:after="156" w:line="240" w:lineRule="auto"/>
              <w:ind w:firstLine="0" w:firstLineChars="0"/>
              <w:rPr>
                <w:sz w:val="21"/>
                <w:szCs w:val="21"/>
              </w:rPr>
            </w:pPr>
            <w:r>
              <w:rPr>
                <w:rFonts w:hint="eastAsia"/>
                <w:sz w:val="21"/>
                <w:szCs w:val="21"/>
              </w:rPr>
              <w:t>环境适用性：应具有防腐、防水等抗恶劣环境性能</w:t>
            </w:r>
          </w:p>
          <w:p>
            <w:pPr>
              <w:spacing w:after="156" w:line="240" w:lineRule="auto"/>
              <w:ind w:firstLine="0" w:firstLineChars="0"/>
              <w:rPr>
                <w:sz w:val="21"/>
                <w:szCs w:val="21"/>
                <w:lang w:eastAsia="en-US"/>
              </w:rPr>
            </w:pPr>
            <w:r>
              <w:rPr>
                <w:rFonts w:hint="eastAsia"/>
                <w:sz w:val="21"/>
                <w:szCs w:val="21"/>
                <w:lang w:eastAsia="en-US"/>
              </w:rPr>
              <w:t>防护等级：IP67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0" w:hRule="atLeast"/>
        </w:trPr>
        <w:tc>
          <w:tcPr>
            <w:tcW w:w="807" w:type="pct"/>
            <w:vMerge w:val="continue"/>
            <w:vAlign w:val="center"/>
          </w:tcPr>
          <w:p>
            <w:pPr>
              <w:spacing w:after="156" w:line="240" w:lineRule="auto"/>
              <w:ind w:firstLine="0" w:firstLineChars="0"/>
              <w:rPr>
                <w:sz w:val="21"/>
                <w:szCs w:val="21"/>
              </w:rPr>
            </w:pPr>
          </w:p>
        </w:tc>
        <w:tc>
          <w:tcPr>
            <w:tcW w:w="892" w:type="pct"/>
            <w:vAlign w:val="center"/>
          </w:tcPr>
          <w:p>
            <w:pPr>
              <w:spacing w:after="156" w:line="240" w:lineRule="auto"/>
              <w:ind w:firstLine="0" w:firstLineChars="0"/>
              <w:rPr>
                <w:sz w:val="21"/>
                <w:szCs w:val="21"/>
              </w:rPr>
            </w:pPr>
            <w:r>
              <w:rPr>
                <w:rFonts w:hint="eastAsia"/>
                <w:sz w:val="21"/>
                <w:szCs w:val="21"/>
              </w:rPr>
              <w:t>降雨量</w:t>
            </w:r>
          </w:p>
        </w:tc>
        <w:tc>
          <w:tcPr>
            <w:tcW w:w="3301" w:type="pct"/>
            <w:vAlign w:val="center"/>
          </w:tcPr>
          <w:p>
            <w:pPr>
              <w:spacing w:after="156" w:line="240" w:lineRule="auto"/>
              <w:ind w:firstLine="0" w:firstLineChars="0"/>
              <w:rPr>
                <w:sz w:val="21"/>
                <w:szCs w:val="21"/>
              </w:rPr>
            </w:pPr>
            <w:r>
              <w:rPr>
                <w:rFonts w:hint="eastAsia"/>
                <w:sz w:val="21"/>
                <w:szCs w:val="21"/>
              </w:rPr>
              <w:t>量程：0.01mm/min～4mm/min</w:t>
            </w:r>
            <w:r>
              <w:rPr>
                <w:rFonts w:hint="eastAsia"/>
                <w:sz w:val="21"/>
                <w:szCs w:val="21"/>
              </w:rPr>
              <w:tab/>
            </w:r>
            <w:r>
              <w:rPr>
                <w:rFonts w:hint="eastAsia"/>
                <w:sz w:val="21"/>
                <w:szCs w:val="21"/>
              </w:rPr>
              <w:t>(允许通过最大</w:t>
            </w:r>
            <w:r>
              <w:rPr>
                <w:rFonts w:hint="eastAsia"/>
                <w:spacing w:val="-16"/>
                <w:sz w:val="21"/>
                <w:szCs w:val="21"/>
              </w:rPr>
              <w:t>雨</w:t>
            </w:r>
            <w:r>
              <w:rPr>
                <w:rFonts w:hint="eastAsia"/>
                <w:sz w:val="21"/>
                <w:szCs w:val="21"/>
              </w:rPr>
              <w:t>强8mm/min)</w:t>
            </w:r>
          </w:p>
          <w:p>
            <w:pPr>
              <w:spacing w:after="156" w:line="240" w:lineRule="auto"/>
              <w:ind w:firstLine="0" w:firstLineChars="0"/>
              <w:rPr>
                <w:sz w:val="21"/>
                <w:szCs w:val="21"/>
              </w:rPr>
            </w:pPr>
            <w:r>
              <w:rPr>
                <w:rFonts w:hint="eastAsia"/>
                <w:sz w:val="21"/>
                <w:szCs w:val="21"/>
              </w:rPr>
              <w:t>精度：±0.1mm</w:t>
            </w:r>
          </w:p>
          <w:p>
            <w:pPr>
              <w:spacing w:after="156" w:line="240" w:lineRule="auto"/>
              <w:ind w:firstLine="0" w:firstLineChars="0"/>
              <w:rPr>
                <w:sz w:val="21"/>
                <w:szCs w:val="21"/>
              </w:rPr>
            </w:pPr>
            <w:r>
              <w:rPr>
                <w:rFonts w:hint="eastAsia"/>
                <w:sz w:val="21"/>
                <w:szCs w:val="21"/>
              </w:rPr>
              <w:t>分辨率：0.1mm</w:t>
            </w:r>
          </w:p>
          <w:p>
            <w:pPr>
              <w:spacing w:after="156" w:line="240" w:lineRule="auto"/>
              <w:ind w:firstLine="0" w:firstLineChars="0"/>
              <w:rPr>
                <w:sz w:val="21"/>
                <w:szCs w:val="21"/>
              </w:rPr>
            </w:pPr>
            <w:r>
              <w:rPr>
                <w:rFonts w:hint="eastAsia"/>
                <w:sz w:val="21"/>
                <w:szCs w:val="21"/>
              </w:rPr>
              <w:t>寿命：不少于5年</w:t>
            </w:r>
          </w:p>
          <w:p>
            <w:pPr>
              <w:spacing w:after="156" w:line="240" w:lineRule="auto"/>
              <w:ind w:firstLine="0" w:firstLineChars="0"/>
              <w:rPr>
                <w:sz w:val="21"/>
                <w:szCs w:val="21"/>
              </w:rPr>
            </w:pPr>
            <w:r>
              <w:rPr>
                <w:rFonts w:hint="eastAsia"/>
                <w:sz w:val="21"/>
                <w:szCs w:val="21"/>
              </w:rPr>
              <w:t>记录时间间隔：1min～99h连续可调</w:t>
            </w:r>
          </w:p>
          <w:p>
            <w:pPr>
              <w:spacing w:after="156" w:line="240" w:lineRule="auto"/>
              <w:ind w:firstLine="0" w:firstLineChars="0"/>
              <w:rPr>
                <w:sz w:val="21"/>
                <w:szCs w:val="21"/>
              </w:rPr>
            </w:pPr>
            <w:r>
              <w:rPr>
                <w:rFonts w:hint="eastAsia"/>
                <w:sz w:val="21"/>
                <w:szCs w:val="21"/>
              </w:rPr>
              <w:t>环境适用性：应具有防腐、防水等抗恶劣环境性能</w:t>
            </w:r>
          </w:p>
          <w:p>
            <w:pPr>
              <w:spacing w:after="156" w:line="240" w:lineRule="auto"/>
              <w:ind w:firstLine="0" w:firstLineChars="0"/>
              <w:rPr>
                <w:sz w:val="21"/>
                <w:szCs w:val="21"/>
                <w:lang w:eastAsia="en-US"/>
              </w:rPr>
            </w:pPr>
            <w:r>
              <w:rPr>
                <w:rFonts w:hint="eastAsia"/>
                <w:sz w:val="21"/>
                <w:szCs w:val="21"/>
                <w:lang w:eastAsia="en-US"/>
              </w:rPr>
              <w:t>防护等级：IP67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807" w:type="pct"/>
            <w:vMerge w:val="continue"/>
            <w:vAlign w:val="center"/>
          </w:tcPr>
          <w:p>
            <w:pPr>
              <w:spacing w:after="156" w:line="240" w:lineRule="auto"/>
              <w:ind w:firstLine="0" w:firstLineChars="0"/>
              <w:rPr>
                <w:sz w:val="21"/>
                <w:szCs w:val="21"/>
              </w:rPr>
            </w:pPr>
          </w:p>
        </w:tc>
        <w:tc>
          <w:tcPr>
            <w:tcW w:w="892" w:type="pct"/>
            <w:vAlign w:val="center"/>
          </w:tcPr>
          <w:p>
            <w:pPr>
              <w:spacing w:after="156" w:line="240" w:lineRule="auto"/>
              <w:ind w:firstLine="0" w:firstLineChars="0"/>
              <w:rPr>
                <w:sz w:val="21"/>
                <w:szCs w:val="21"/>
              </w:rPr>
            </w:pPr>
            <w:r>
              <w:rPr>
                <w:rFonts w:hint="eastAsia"/>
                <w:sz w:val="21"/>
                <w:szCs w:val="21"/>
              </w:rPr>
              <w:t>能见度</w:t>
            </w:r>
          </w:p>
        </w:tc>
        <w:tc>
          <w:tcPr>
            <w:tcW w:w="3301" w:type="pct"/>
            <w:vAlign w:val="center"/>
          </w:tcPr>
          <w:p>
            <w:pPr>
              <w:spacing w:after="156" w:line="240" w:lineRule="auto"/>
              <w:ind w:firstLine="0" w:firstLineChars="0"/>
              <w:rPr>
                <w:sz w:val="21"/>
                <w:szCs w:val="21"/>
              </w:rPr>
            </w:pPr>
            <w:r>
              <w:rPr>
                <w:rFonts w:hint="eastAsia"/>
                <w:sz w:val="21"/>
                <w:szCs w:val="21"/>
              </w:rPr>
              <w:t>量程：5m～5km</w:t>
            </w:r>
          </w:p>
          <w:p>
            <w:pPr>
              <w:spacing w:after="156" w:line="240" w:lineRule="auto"/>
              <w:ind w:firstLine="0" w:firstLineChars="0"/>
              <w:rPr>
                <w:sz w:val="21"/>
                <w:szCs w:val="21"/>
              </w:rPr>
            </w:pPr>
            <w:r>
              <w:rPr>
                <w:rFonts w:hint="eastAsia"/>
                <w:sz w:val="21"/>
                <w:szCs w:val="21"/>
              </w:rPr>
              <w:t>精度：10%，＜600m时</w:t>
            </w:r>
          </w:p>
          <w:p>
            <w:pPr>
              <w:spacing w:after="156" w:line="240" w:lineRule="auto"/>
              <w:ind w:firstLine="0" w:firstLineChars="0"/>
              <w:rPr>
                <w:sz w:val="21"/>
                <w:szCs w:val="21"/>
              </w:rPr>
            </w:pPr>
            <w:r>
              <w:rPr>
                <w:rFonts w:hint="eastAsia"/>
                <w:sz w:val="21"/>
                <w:szCs w:val="21"/>
              </w:rPr>
              <w:t>分辨率：1m</w:t>
            </w:r>
          </w:p>
          <w:p>
            <w:pPr>
              <w:spacing w:after="156" w:line="240" w:lineRule="auto"/>
              <w:ind w:firstLine="0" w:firstLineChars="0"/>
              <w:rPr>
                <w:sz w:val="21"/>
                <w:szCs w:val="21"/>
              </w:rPr>
            </w:pPr>
            <w:r>
              <w:rPr>
                <w:rFonts w:hint="eastAsia"/>
                <w:sz w:val="21"/>
                <w:szCs w:val="21"/>
              </w:rPr>
              <w:t>寿命：不少于5年</w:t>
            </w:r>
          </w:p>
          <w:p>
            <w:pPr>
              <w:spacing w:after="156" w:line="240" w:lineRule="auto"/>
              <w:ind w:firstLine="0" w:firstLineChars="0"/>
              <w:rPr>
                <w:sz w:val="21"/>
                <w:szCs w:val="21"/>
              </w:rPr>
            </w:pPr>
            <w:r>
              <w:rPr>
                <w:rFonts w:hint="eastAsia"/>
                <w:sz w:val="21"/>
                <w:szCs w:val="21"/>
              </w:rPr>
              <w:t>环境适用性：应具有防腐、防水等抗恶劣环境性能</w:t>
            </w:r>
          </w:p>
          <w:p>
            <w:pPr>
              <w:spacing w:after="156" w:line="240" w:lineRule="auto"/>
              <w:ind w:firstLine="0" w:firstLineChars="0"/>
              <w:rPr>
                <w:sz w:val="21"/>
                <w:szCs w:val="21"/>
                <w:lang w:eastAsia="en-US"/>
              </w:rPr>
            </w:pPr>
            <w:r>
              <w:rPr>
                <w:rFonts w:hint="eastAsia"/>
                <w:sz w:val="21"/>
                <w:szCs w:val="21"/>
                <w:lang w:eastAsia="en-US"/>
              </w:rPr>
              <w:t>防护等级：IP67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9" w:hRule="atLeast"/>
        </w:trPr>
        <w:tc>
          <w:tcPr>
            <w:tcW w:w="807" w:type="pct"/>
            <w:vMerge w:val="continue"/>
            <w:vAlign w:val="center"/>
          </w:tcPr>
          <w:p>
            <w:pPr>
              <w:spacing w:after="156" w:line="240" w:lineRule="auto"/>
              <w:ind w:firstLine="0" w:firstLineChars="0"/>
              <w:rPr>
                <w:sz w:val="21"/>
                <w:szCs w:val="21"/>
              </w:rPr>
            </w:pPr>
          </w:p>
        </w:tc>
        <w:tc>
          <w:tcPr>
            <w:tcW w:w="892" w:type="pct"/>
            <w:vAlign w:val="center"/>
          </w:tcPr>
          <w:p>
            <w:pPr>
              <w:spacing w:after="156" w:line="240" w:lineRule="auto"/>
              <w:ind w:firstLine="0" w:firstLineChars="0"/>
              <w:rPr>
                <w:sz w:val="21"/>
                <w:szCs w:val="21"/>
              </w:rPr>
            </w:pPr>
            <w:r>
              <w:rPr>
                <w:rFonts w:hint="eastAsia"/>
                <w:sz w:val="21"/>
                <w:szCs w:val="21"/>
              </w:rPr>
              <w:t>遥感桥面状态</w:t>
            </w:r>
          </w:p>
        </w:tc>
        <w:tc>
          <w:tcPr>
            <w:tcW w:w="3301" w:type="pct"/>
            <w:vAlign w:val="center"/>
          </w:tcPr>
          <w:p>
            <w:pPr>
              <w:spacing w:after="156" w:line="240" w:lineRule="auto"/>
              <w:ind w:firstLine="0" w:firstLineChars="0"/>
              <w:rPr>
                <w:sz w:val="21"/>
                <w:szCs w:val="21"/>
              </w:rPr>
            </w:pPr>
            <w:r>
              <w:rPr>
                <w:rFonts w:hint="eastAsia"/>
                <w:sz w:val="21"/>
                <w:szCs w:val="21"/>
              </w:rPr>
              <w:t>桥面温度</w:t>
            </w:r>
          </w:p>
          <w:p>
            <w:pPr>
              <w:spacing w:after="156" w:line="240" w:lineRule="auto"/>
              <w:ind w:firstLine="0" w:firstLineChars="0"/>
              <w:rPr>
                <w:sz w:val="21"/>
                <w:szCs w:val="21"/>
              </w:rPr>
            </w:pPr>
            <w:r>
              <w:rPr>
                <w:rFonts w:hint="eastAsia"/>
                <w:spacing w:val="-6"/>
                <w:sz w:val="21"/>
                <w:szCs w:val="21"/>
              </w:rPr>
              <w:t>量程：</w:t>
            </w:r>
            <w:r>
              <w:rPr>
                <w:rFonts w:hint="eastAsia"/>
                <w:sz w:val="21"/>
                <w:szCs w:val="21"/>
              </w:rPr>
              <w:t>-40℃～80</w:t>
            </w:r>
            <w:r>
              <w:rPr>
                <w:rFonts w:hint="eastAsia"/>
                <w:spacing w:val="-16"/>
                <w:sz w:val="21"/>
                <w:szCs w:val="21"/>
              </w:rPr>
              <w:t>℃</w:t>
            </w:r>
            <w:r>
              <w:rPr>
                <w:rFonts w:hint="eastAsia"/>
                <w:spacing w:val="-13"/>
                <w:sz w:val="21"/>
                <w:szCs w:val="21"/>
              </w:rPr>
              <w:t>；精度：</w:t>
            </w:r>
            <w:r>
              <w:rPr>
                <w:rFonts w:hint="eastAsia"/>
                <w:spacing w:val="-14"/>
                <w:sz w:val="21"/>
                <w:szCs w:val="21"/>
              </w:rPr>
              <w:t>±0.5</w:t>
            </w:r>
            <w:r>
              <w:rPr>
                <w:rFonts w:hint="eastAsia"/>
                <w:spacing w:val="-16"/>
                <w:sz w:val="21"/>
                <w:szCs w:val="21"/>
              </w:rPr>
              <w:t>℃</w:t>
            </w:r>
            <w:r>
              <w:rPr>
                <w:rFonts w:hint="eastAsia"/>
                <w:spacing w:val="-11"/>
                <w:sz w:val="21"/>
                <w:szCs w:val="21"/>
              </w:rPr>
              <w:t>；分辨率：</w:t>
            </w:r>
            <w:r>
              <w:rPr>
                <w:rFonts w:hint="eastAsia"/>
                <w:sz w:val="21"/>
                <w:szCs w:val="21"/>
              </w:rPr>
              <w:t>0.1℃</w:t>
            </w:r>
          </w:p>
          <w:p>
            <w:pPr>
              <w:spacing w:after="156" w:line="240" w:lineRule="auto"/>
              <w:ind w:firstLine="0" w:firstLineChars="0"/>
              <w:rPr>
                <w:sz w:val="21"/>
                <w:szCs w:val="21"/>
              </w:rPr>
            </w:pPr>
            <w:r>
              <w:rPr>
                <w:rFonts w:hint="eastAsia"/>
                <w:sz w:val="21"/>
                <w:szCs w:val="21"/>
              </w:rPr>
              <w:t>冰点</w:t>
            </w:r>
          </w:p>
          <w:p>
            <w:pPr>
              <w:spacing w:after="156" w:line="240" w:lineRule="auto"/>
              <w:ind w:firstLine="0" w:firstLineChars="0"/>
              <w:rPr>
                <w:sz w:val="21"/>
                <w:szCs w:val="21"/>
              </w:rPr>
            </w:pPr>
            <w:r>
              <w:rPr>
                <w:rFonts w:hint="eastAsia"/>
                <w:sz w:val="21"/>
                <w:szCs w:val="21"/>
              </w:rPr>
              <w:t>量程：-40℃～0℃；精度：±0.5℃，＞-15℃，</w:t>
            </w:r>
          </w:p>
          <w:p>
            <w:pPr>
              <w:spacing w:after="156" w:line="240" w:lineRule="auto"/>
              <w:ind w:firstLine="0" w:firstLineChars="0"/>
              <w:rPr>
                <w:sz w:val="21"/>
                <w:szCs w:val="21"/>
                <w:lang w:eastAsia="en-US"/>
              </w:rPr>
            </w:pPr>
            <w:r>
              <w:rPr>
                <w:rFonts w:hint="eastAsia"/>
                <w:sz w:val="21"/>
                <w:szCs w:val="21"/>
                <w:lang w:eastAsia="en-US"/>
              </w:rPr>
              <w:t>±1.5℃＞-15℃；分辨率：0.1v</w:t>
            </w:r>
          </w:p>
          <w:p>
            <w:pPr>
              <w:spacing w:after="156" w:line="240" w:lineRule="auto"/>
              <w:ind w:firstLine="0" w:firstLineChars="0"/>
              <w:rPr>
                <w:sz w:val="21"/>
                <w:szCs w:val="21"/>
                <w:lang w:eastAsia="en-US"/>
              </w:rPr>
            </w:pPr>
            <w:r>
              <w:rPr>
                <w:rFonts w:hint="eastAsia"/>
                <w:sz w:val="21"/>
                <w:szCs w:val="21"/>
                <w:lang w:eastAsia="en-US"/>
              </w:rPr>
              <w:t>水膜高度</w:t>
            </w:r>
          </w:p>
          <w:p>
            <w:pPr>
              <w:spacing w:after="156" w:line="240" w:lineRule="auto"/>
              <w:ind w:firstLine="0" w:firstLineChars="0"/>
              <w:rPr>
                <w:sz w:val="21"/>
                <w:szCs w:val="21"/>
              </w:rPr>
            </w:pPr>
            <w:r>
              <w:rPr>
                <w:rFonts w:hint="eastAsia"/>
                <w:sz w:val="21"/>
                <w:szCs w:val="21"/>
              </w:rPr>
              <w:t>测量范围：</w:t>
            </w:r>
            <w:r>
              <w:rPr>
                <w:rFonts w:hint="eastAsia"/>
                <w:spacing w:val="-17"/>
                <w:sz w:val="21"/>
                <w:szCs w:val="21"/>
              </w:rPr>
              <w:t>（0</w:t>
            </w:r>
            <w:r>
              <w:rPr>
                <w:rFonts w:hint="eastAsia"/>
                <w:sz w:val="21"/>
                <w:szCs w:val="21"/>
              </w:rPr>
              <w:t>～</w:t>
            </w:r>
            <w:r>
              <w:rPr>
                <w:rFonts w:hint="eastAsia"/>
                <w:spacing w:val="-17"/>
                <w:sz w:val="21"/>
                <w:szCs w:val="21"/>
              </w:rPr>
              <w:t>10）mm</w:t>
            </w:r>
            <w:r>
              <w:rPr>
                <w:rFonts w:hint="eastAsia"/>
                <w:spacing w:val="-7"/>
                <w:sz w:val="21"/>
                <w:szCs w:val="21"/>
              </w:rPr>
              <w:t>；精度：</w:t>
            </w:r>
            <w:r>
              <w:rPr>
                <w:rFonts w:hint="eastAsia"/>
                <w:spacing w:val="-8"/>
                <w:sz w:val="21"/>
                <w:szCs w:val="21"/>
              </w:rPr>
              <w:t>0.05</w:t>
            </w:r>
            <w:r>
              <w:rPr>
                <w:rFonts w:hint="eastAsia"/>
                <w:spacing w:val="-14"/>
                <w:sz w:val="21"/>
                <w:szCs w:val="21"/>
              </w:rPr>
              <w:t>mm</w:t>
            </w:r>
            <w:r>
              <w:rPr>
                <w:rFonts w:hint="eastAsia"/>
                <w:sz w:val="21"/>
                <w:szCs w:val="21"/>
              </w:rPr>
              <w:t>；分辨率：</w:t>
            </w:r>
          </w:p>
          <w:p>
            <w:pPr>
              <w:spacing w:after="156" w:line="240" w:lineRule="auto"/>
              <w:ind w:firstLine="0" w:firstLineChars="0"/>
              <w:rPr>
                <w:sz w:val="21"/>
                <w:szCs w:val="21"/>
              </w:rPr>
            </w:pPr>
            <w:r>
              <w:rPr>
                <w:rFonts w:hint="eastAsia"/>
                <w:sz w:val="21"/>
                <w:szCs w:val="21"/>
              </w:rPr>
              <w:t>0.01mm</w:t>
            </w:r>
          </w:p>
          <w:p>
            <w:pPr>
              <w:spacing w:after="156" w:line="240" w:lineRule="auto"/>
              <w:ind w:firstLine="0" w:firstLineChars="0"/>
              <w:rPr>
                <w:sz w:val="21"/>
                <w:szCs w:val="21"/>
              </w:rPr>
            </w:pPr>
            <w:r>
              <w:rPr>
                <w:rFonts w:hint="eastAsia"/>
                <w:sz w:val="21"/>
                <w:szCs w:val="21"/>
              </w:rPr>
              <w:t>冰：测量范围：（0～2）mm；分辨率0.01mm</w:t>
            </w:r>
          </w:p>
          <w:p>
            <w:pPr>
              <w:spacing w:after="156" w:line="240" w:lineRule="auto"/>
              <w:ind w:firstLine="0" w:firstLineChars="0"/>
              <w:rPr>
                <w:spacing w:val="-8"/>
                <w:sz w:val="21"/>
                <w:szCs w:val="21"/>
              </w:rPr>
            </w:pPr>
            <w:r>
              <w:rPr>
                <w:rFonts w:hint="eastAsia"/>
                <w:sz w:val="21"/>
                <w:szCs w:val="21"/>
              </w:rPr>
              <w:t>雪：测量范围：（0～10）mm；分辨率：0.01</w:t>
            </w:r>
            <w:r>
              <w:rPr>
                <w:rFonts w:hint="eastAsia"/>
                <w:spacing w:val="-8"/>
                <w:sz w:val="21"/>
                <w:szCs w:val="21"/>
              </w:rPr>
              <w:t>mm</w:t>
            </w:r>
          </w:p>
          <w:p>
            <w:pPr>
              <w:spacing w:after="156" w:line="240" w:lineRule="auto"/>
              <w:ind w:firstLine="0" w:firstLineChars="0"/>
              <w:rPr>
                <w:sz w:val="21"/>
                <w:szCs w:val="21"/>
              </w:rPr>
            </w:pPr>
            <w:r>
              <w:rPr>
                <w:rFonts w:hint="eastAsia"/>
                <w:sz w:val="21"/>
                <w:szCs w:val="21"/>
              </w:rPr>
              <w:t>湿滑程度：测量范围：0.00～1</w:t>
            </w:r>
          </w:p>
          <w:p>
            <w:pPr>
              <w:spacing w:after="156" w:line="240" w:lineRule="auto"/>
              <w:ind w:firstLine="0" w:firstLineChars="0"/>
              <w:rPr>
                <w:sz w:val="21"/>
                <w:szCs w:val="21"/>
              </w:rPr>
            </w:pPr>
            <w:r>
              <w:rPr>
                <w:rFonts w:hint="eastAsia"/>
                <w:sz w:val="21"/>
                <w:szCs w:val="21"/>
              </w:rPr>
              <w:t>能分辨路面状态：干燥、潮、湿、结冰、积雪、冰</w:t>
            </w:r>
          </w:p>
          <w:p>
            <w:pPr>
              <w:spacing w:after="156" w:line="240" w:lineRule="auto"/>
              <w:ind w:firstLine="0" w:firstLineChars="0"/>
              <w:rPr>
                <w:sz w:val="21"/>
                <w:szCs w:val="21"/>
              </w:rPr>
            </w:pPr>
            <w:r>
              <w:rPr>
                <w:rFonts w:hint="eastAsia"/>
                <w:sz w:val="21"/>
                <w:szCs w:val="21"/>
              </w:rPr>
              <w:t>水混合</w:t>
            </w:r>
          </w:p>
          <w:p>
            <w:pPr>
              <w:spacing w:after="156" w:line="240" w:lineRule="auto"/>
              <w:ind w:firstLine="0" w:firstLineChars="0"/>
              <w:rPr>
                <w:sz w:val="21"/>
                <w:szCs w:val="21"/>
              </w:rPr>
            </w:pPr>
            <w:r>
              <w:rPr>
                <w:rFonts w:hint="eastAsia"/>
                <w:sz w:val="21"/>
                <w:szCs w:val="21"/>
              </w:rPr>
              <w:t>寿命：不少于5年</w:t>
            </w:r>
          </w:p>
          <w:p>
            <w:pPr>
              <w:spacing w:after="156" w:line="240" w:lineRule="auto"/>
              <w:ind w:firstLine="0" w:firstLineChars="0"/>
              <w:rPr>
                <w:sz w:val="21"/>
                <w:szCs w:val="21"/>
              </w:rPr>
            </w:pPr>
            <w:r>
              <w:rPr>
                <w:rFonts w:hint="eastAsia"/>
                <w:sz w:val="21"/>
                <w:szCs w:val="21"/>
              </w:rPr>
              <w:t>环境适用性：应具有防腐、防水等抗恶劣环境性能</w:t>
            </w:r>
          </w:p>
          <w:p>
            <w:pPr>
              <w:spacing w:after="156" w:line="240" w:lineRule="auto"/>
              <w:ind w:firstLine="0" w:firstLineChars="0"/>
              <w:rPr>
                <w:sz w:val="21"/>
                <w:szCs w:val="21"/>
                <w:lang w:eastAsia="en-US"/>
              </w:rPr>
            </w:pPr>
            <w:r>
              <w:rPr>
                <w:rFonts w:hint="eastAsia"/>
                <w:sz w:val="21"/>
                <w:szCs w:val="21"/>
                <w:lang w:eastAsia="en-US"/>
              </w:rPr>
              <w:t>防护等级：IP67</w:t>
            </w:r>
          </w:p>
        </w:tc>
      </w:tr>
      <w:bookmarkEnd w:id="79"/>
    </w:tbl>
    <w:p>
      <w:pPr>
        <w:spacing w:after="156"/>
      </w:pPr>
      <w:bookmarkStart w:id="80" w:name="_Hlk163820684"/>
      <w:r>
        <w:rPr>
          <w:rFonts w:hint="eastAsia"/>
        </w:rPr>
        <w:t>桥梁监测内容、监测位置需结合桥梁结构特点、病害特点及桥梁运营风险，根据桥梁安全风险评估结果进行监测点位布设，较大风险及以上的桥梁必须安装监测设备，对不可更换的监测测点，做冗余布设，对关键部件或关键构件监测内容可布设校核测点。针对桥梁结构、交通气象环境、交通荷载等优先选择以下桥梁进行监测：</w:t>
      </w:r>
    </w:p>
    <w:p>
      <w:pPr>
        <w:spacing w:after="156"/>
        <w:ind w:firstLine="602"/>
      </w:pPr>
      <w:r>
        <w:rPr>
          <w:rFonts w:hint="eastAsia"/>
          <w:b/>
          <w:bCs/>
        </w:rPr>
        <w:t>（1）安全状况差的桥梁：</w:t>
      </w:r>
      <w:r>
        <w:rPr>
          <w:rFonts w:hint="eastAsia"/>
        </w:rPr>
        <w:t>在技术状况评定中被认定为3类或4类的穿越城市的公路桥梁；II类养护～III类养护被认定为C级或D级的城市桥梁。</w:t>
      </w:r>
    </w:p>
    <w:p>
      <w:pPr>
        <w:spacing w:after="156"/>
        <w:ind w:firstLine="602"/>
      </w:pPr>
      <w:r>
        <w:rPr>
          <w:rFonts w:hint="eastAsia"/>
          <w:b/>
          <w:bCs/>
        </w:rPr>
        <w:t>（2）运营风险大的桥梁：</w:t>
      </w:r>
      <w:r>
        <w:rPr>
          <w:rFonts w:hint="eastAsia"/>
        </w:rPr>
        <w:t>服役年限超过30年且存在明显病害的桥梁；超载频繁，易遭受车、船等撞击的桥梁；城市道路高架桥单跨跨度超过100m的重要路口、匝道段和独柱墩段。</w:t>
      </w:r>
    </w:p>
    <w:p>
      <w:pPr>
        <w:spacing w:after="156"/>
        <w:ind w:firstLine="602"/>
      </w:pPr>
      <w:r>
        <w:rPr>
          <w:rFonts w:hint="eastAsia"/>
          <w:b/>
          <w:bCs/>
        </w:rPr>
        <w:t>（3）重要或复杂结构的桥梁：</w:t>
      </w:r>
      <w:r>
        <w:rPr>
          <w:rFonts w:hint="eastAsia"/>
        </w:rPr>
        <w:t>位于城市主要交通要道、出入城、交通繁忙、有重车经常通行的桥梁；桥长大于1,000m或单跨跨度大于150m的桥梁；特殊结构如斜拉桥、悬索桥、系杆拱桥等；省级及以上文物保护单位的桥梁。</w:t>
      </w:r>
    </w:p>
    <w:bookmarkEnd w:id="80"/>
    <w:p>
      <w:pPr>
        <w:pStyle w:val="3"/>
        <w:spacing w:after="156"/>
      </w:pPr>
      <w:bookmarkStart w:id="81" w:name="_Toc182299756"/>
      <w:bookmarkStart w:id="82" w:name="_Toc184031843"/>
      <w:r>
        <w:rPr>
          <w:rFonts w:hint="eastAsia"/>
        </w:rPr>
        <w:t>综合管廊感知网络建设要求</w:t>
      </w:r>
      <w:bookmarkEnd w:id="81"/>
      <w:bookmarkEnd w:id="82"/>
    </w:p>
    <w:p>
      <w:pPr>
        <w:spacing w:after="156"/>
        <w:rPr>
          <w:rFonts w:hint="eastAsia"/>
        </w:rPr>
      </w:pPr>
      <w:bookmarkStart w:id="83" w:name="_Hlk163820701"/>
      <w:r>
        <w:rPr>
          <w:rFonts w:hint="eastAsia"/>
        </w:rPr>
        <w:t>综合管廊监测对象包含管廊本体结构、入廊管线、廊内环境、附属设施，实现对管廊廊体应力、沉降，廊内可燃、有毒气体浓度，附属设施运行状态，入廊供水管线压力、流量等，入廊燃气管线可燃气体浓度，入廊排水管线压力、流量、有毒气体浓度、可燃气体浓度和温度等进行监测。</w:t>
      </w:r>
    </w:p>
    <w:p>
      <w:pPr>
        <w:rPr>
          <w:rFonts w:hint="eastAsia"/>
        </w:rPr>
      </w:pPr>
      <w:r>
        <w:rPr>
          <w:rFonts w:hint="eastAsia"/>
        </w:rPr>
        <w:br w:type="page"/>
      </w:r>
    </w:p>
    <w:bookmarkEnd w:id="83"/>
    <w:p>
      <w:pPr>
        <w:pStyle w:val="11"/>
        <w:spacing w:after="156"/>
      </w:pPr>
      <w:r>
        <w:rPr>
          <w:rFonts w:hint="eastAsia"/>
        </w:rPr>
        <w:t>表</w:t>
      </w:r>
      <w:r>
        <w:fldChar w:fldCharType="begin"/>
      </w:r>
      <w:r>
        <w:instrText xml:space="preserve"> </w:instrText>
      </w:r>
      <w:r>
        <w:rPr>
          <w:rFonts w:hint="eastAsia"/>
        </w:rPr>
        <w:instrText xml:space="preserve">STYLEREF 2 \s</w:instrText>
      </w:r>
      <w:r>
        <w:instrText xml:space="preserve"> </w:instrText>
      </w:r>
      <w:r>
        <w:fldChar w:fldCharType="separate"/>
      </w:r>
      <w:r>
        <w:t>7.6</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t>1</w:t>
      </w:r>
      <w:r>
        <w:fldChar w:fldCharType="end"/>
      </w:r>
      <w:bookmarkStart w:id="84" w:name="_Hlk163820725"/>
      <w:r>
        <w:rPr>
          <w:rFonts w:hint="eastAsia"/>
        </w:rPr>
        <w:t>综合管廊监测对象及主要指标</w:t>
      </w:r>
    </w:p>
    <w:bookmarkEnd w:id="84"/>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21"/>
        <w:gridCol w:w="883"/>
        <w:gridCol w:w="4953"/>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trPr>
        <w:tc>
          <w:tcPr>
            <w:tcW w:w="674" w:type="pct"/>
            <w:vAlign w:val="center"/>
          </w:tcPr>
          <w:p>
            <w:pPr>
              <w:spacing w:after="156" w:line="240" w:lineRule="auto"/>
              <w:ind w:firstLine="0" w:firstLineChars="0"/>
              <w:jc w:val="center"/>
              <w:rPr>
                <w:sz w:val="21"/>
                <w:szCs w:val="21"/>
                <w:lang w:eastAsia="en-US"/>
              </w:rPr>
            </w:pPr>
            <w:bookmarkStart w:id="85" w:name="_Hlk163820708"/>
            <w:r>
              <w:rPr>
                <w:rFonts w:hint="eastAsia"/>
                <w:sz w:val="21"/>
                <w:szCs w:val="21"/>
                <w:lang w:eastAsia="en-US"/>
              </w:rPr>
              <w:t>监测对象</w:t>
            </w:r>
          </w:p>
        </w:tc>
        <w:tc>
          <w:tcPr>
            <w:tcW w:w="531" w:type="pct"/>
            <w:vAlign w:val="center"/>
          </w:tcPr>
          <w:p>
            <w:pPr>
              <w:spacing w:after="156" w:line="240" w:lineRule="auto"/>
              <w:ind w:firstLine="0" w:firstLineChars="0"/>
              <w:jc w:val="center"/>
              <w:rPr>
                <w:sz w:val="21"/>
                <w:szCs w:val="21"/>
                <w:lang w:eastAsia="en-US"/>
              </w:rPr>
            </w:pPr>
            <w:r>
              <w:rPr>
                <w:rFonts w:hint="eastAsia"/>
                <w:sz w:val="21"/>
                <w:szCs w:val="21"/>
                <w:lang w:eastAsia="en-US"/>
              </w:rPr>
              <w:t>监测指标</w:t>
            </w:r>
          </w:p>
        </w:tc>
        <w:tc>
          <w:tcPr>
            <w:tcW w:w="2978" w:type="pct"/>
            <w:vAlign w:val="center"/>
          </w:tcPr>
          <w:p>
            <w:pPr>
              <w:spacing w:after="156" w:line="240" w:lineRule="auto"/>
              <w:ind w:firstLine="0" w:firstLineChars="0"/>
              <w:jc w:val="center"/>
              <w:rPr>
                <w:sz w:val="21"/>
                <w:szCs w:val="21"/>
                <w:lang w:eastAsia="en-US"/>
              </w:rPr>
            </w:pPr>
            <w:r>
              <w:rPr>
                <w:rFonts w:hint="eastAsia"/>
                <w:sz w:val="21"/>
                <w:szCs w:val="21"/>
                <w:lang w:eastAsia="en-US"/>
              </w:rPr>
              <w:t>监测设备技术要求</w:t>
            </w:r>
          </w:p>
        </w:tc>
        <w:tc>
          <w:tcPr>
            <w:tcW w:w="817" w:type="pct"/>
            <w:vAlign w:val="center"/>
          </w:tcPr>
          <w:p>
            <w:pPr>
              <w:spacing w:after="156" w:line="240" w:lineRule="auto"/>
              <w:ind w:firstLine="0" w:firstLineChars="0"/>
              <w:jc w:val="center"/>
              <w:rPr>
                <w:sz w:val="21"/>
                <w:szCs w:val="21"/>
              </w:rPr>
            </w:pPr>
            <w:r>
              <w:rPr>
                <w:rFonts w:hint="eastAsia"/>
                <w:sz w:val="21"/>
                <w:szCs w:val="21"/>
              </w:rPr>
              <w:t>建设优先级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trPr>
        <w:tc>
          <w:tcPr>
            <w:tcW w:w="674" w:type="pct"/>
            <w:vAlign w:val="center"/>
          </w:tcPr>
          <w:p>
            <w:pPr>
              <w:spacing w:after="156" w:line="240" w:lineRule="auto"/>
              <w:ind w:firstLine="0" w:firstLineChars="0"/>
              <w:rPr>
                <w:sz w:val="21"/>
                <w:szCs w:val="21"/>
                <w:lang w:eastAsia="en-US"/>
              </w:rPr>
            </w:pPr>
            <w:r>
              <w:rPr>
                <w:rFonts w:hint="eastAsia"/>
                <w:sz w:val="21"/>
                <w:szCs w:val="21"/>
                <w:lang w:eastAsia="en-US"/>
              </w:rPr>
              <w:t>入廊管线</w:t>
            </w:r>
          </w:p>
        </w:tc>
        <w:tc>
          <w:tcPr>
            <w:tcW w:w="531" w:type="pct"/>
            <w:vAlign w:val="center"/>
          </w:tcPr>
          <w:p>
            <w:pPr>
              <w:spacing w:after="156" w:line="240" w:lineRule="auto"/>
              <w:ind w:firstLine="0" w:firstLineChars="0"/>
              <w:rPr>
                <w:sz w:val="21"/>
                <w:szCs w:val="21"/>
              </w:rPr>
            </w:pPr>
            <w:r>
              <w:rPr>
                <w:rFonts w:hint="eastAsia"/>
                <w:sz w:val="21"/>
                <w:szCs w:val="21"/>
              </w:rPr>
              <w:t>同燃气、供水、排水监测指标</w:t>
            </w:r>
          </w:p>
        </w:tc>
        <w:tc>
          <w:tcPr>
            <w:tcW w:w="2978" w:type="pct"/>
            <w:vAlign w:val="center"/>
          </w:tcPr>
          <w:p>
            <w:pPr>
              <w:spacing w:after="156" w:line="240" w:lineRule="auto"/>
              <w:ind w:firstLine="0" w:firstLineChars="0"/>
              <w:rPr>
                <w:sz w:val="21"/>
                <w:szCs w:val="21"/>
              </w:rPr>
            </w:pPr>
            <w:r>
              <w:rPr>
                <w:rFonts w:hint="eastAsia"/>
                <w:sz w:val="21"/>
                <w:szCs w:val="21"/>
              </w:rPr>
              <w:t>同燃气、供水、排水监测设备技术要求</w:t>
            </w:r>
          </w:p>
        </w:tc>
        <w:tc>
          <w:tcPr>
            <w:tcW w:w="817" w:type="pct"/>
            <w:vAlign w:val="center"/>
          </w:tcPr>
          <w:p>
            <w:pPr>
              <w:spacing w:after="156" w:line="240" w:lineRule="auto"/>
              <w:ind w:firstLine="0" w:firstLineChars="0"/>
              <w:jc w:val="center"/>
              <w:rPr>
                <w:sz w:val="21"/>
                <w:szCs w:val="21"/>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trPr>
        <w:tc>
          <w:tcPr>
            <w:tcW w:w="674" w:type="pct"/>
            <w:vMerge w:val="restart"/>
            <w:vAlign w:val="center"/>
          </w:tcPr>
          <w:p>
            <w:pPr>
              <w:spacing w:after="156" w:line="240" w:lineRule="auto"/>
              <w:ind w:firstLine="0" w:firstLineChars="0"/>
              <w:rPr>
                <w:sz w:val="21"/>
                <w:szCs w:val="21"/>
                <w:lang w:eastAsia="en-US"/>
              </w:rPr>
            </w:pPr>
            <w:r>
              <w:rPr>
                <w:rFonts w:hint="eastAsia"/>
                <w:sz w:val="21"/>
                <w:szCs w:val="21"/>
                <w:lang w:eastAsia="en-US"/>
              </w:rPr>
              <w:t>廊内环境</w:t>
            </w:r>
          </w:p>
        </w:tc>
        <w:tc>
          <w:tcPr>
            <w:tcW w:w="531" w:type="pct"/>
            <w:vAlign w:val="center"/>
          </w:tcPr>
          <w:p>
            <w:pPr>
              <w:spacing w:after="156" w:line="240" w:lineRule="auto"/>
              <w:ind w:firstLine="0" w:firstLineChars="0"/>
              <w:rPr>
                <w:sz w:val="21"/>
                <w:szCs w:val="21"/>
                <w:lang w:eastAsia="en-US"/>
              </w:rPr>
            </w:pPr>
            <w:r>
              <w:rPr>
                <w:rFonts w:hint="eastAsia"/>
                <w:sz w:val="21"/>
                <w:szCs w:val="21"/>
                <w:lang w:eastAsia="en-US"/>
              </w:rPr>
              <w:t>湿度</w:t>
            </w:r>
          </w:p>
        </w:tc>
        <w:tc>
          <w:tcPr>
            <w:tcW w:w="2978" w:type="pct"/>
            <w:vAlign w:val="center"/>
          </w:tcPr>
          <w:p>
            <w:pPr>
              <w:spacing w:after="156" w:line="240" w:lineRule="auto"/>
              <w:ind w:firstLine="0" w:firstLineChars="0"/>
              <w:rPr>
                <w:sz w:val="21"/>
                <w:szCs w:val="21"/>
                <w:lang w:eastAsia="en-US"/>
              </w:rPr>
            </w:pPr>
            <w:r>
              <w:rPr>
                <w:rFonts w:hint="eastAsia"/>
                <w:sz w:val="21"/>
                <w:szCs w:val="21"/>
                <w:lang w:eastAsia="en-US"/>
              </w:rPr>
              <w:t>量程：0～100%RH；</w:t>
            </w:r>
          </w:p>
          <w:p>
            <w:pPr>
              <w:spacing w:after="156" w:line="240" w:lineRule="auto"/>
              <w:ind w:firstLine="0" w:firstLineChars="0"/>
              <w:rPr>
                <w:sz w:val="21"/>
                <w:szCs w:val="21"/>
                <w:lang w:eastAsia="en-US"/>
              </w:rPr>
            </w:pPr>
            <w:r>
              <w:rPr>
                <w:rFonts w:hint="eastAsia"/>
                <w:sz w:val="21"/>
                <w:szCs w:val="21"/>
                <w:lang w:eastAsia="en-US"/>
              </w:rPr>
              <w:t>精度：≤3%FS；</w:t>
            </w:r>
          </w:p>
          <w:p>
            <w:pPr>
              <w:spacing w:after="156" w:line="240" w:lineRule="auto"/>
              <w:ind w:firstLine="0" w:firstLineChars="0"/>
              <w:rPr>
                <w:sz w:val="21"/>
                <w:szCs w:val="21"/>
              </w:rPr>
            </w:pPr>
            <w:r>
              <w:rPr>
                <w:rFonts w:hint="eastAsia"/>
                <w:sz w:val="21"/>
                <w:szCs w:val="21"/>
              </w:rPr>
              <w:t>环境适用性：应具有防爆、防腐、防水等抗恶劣环境性能。</w:t>
            </w:r>
          </w:p>
        </w:tc>
        <w:tc>
          <w:tcPr>
            <w:tcW w:w="817" w:type="pct"/>
            <w:vAlign w:val="center"/>
          </w:tcPr>
          <w:p>
            <w:pPr>
              <w:spacing w:after="156" w:line="240" w:lineRule="auto"/>
              <w:ind w:firstLine="0" w:firstLineChars="0"/>
              <w:jc w:val="center"/>
              <w:rPr>
                <w:sz w:val="21"/>
                <w:szCs w:val="21"/>
                <w:lang w:eastAsia="en-US"/>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trPr>
        <w:tc>
          <w:tcPr>
            <w:tcW w:w="674" w:type="pct"/>
            <w:vMerge w:val="continue"/>
            <w:vAlign w:val="center"/>
          </w:tcPr>
          <w:p>
            <w:pPr>
              <w:spacing w:after="156" w:line="240" w:lineRule="auto"/>
              <w:ind w:firstLine="0" w:firstLineChars="0"/>
              <w:rPr>
                <w:sz w:val="21"/>
                <w:szCs w:val="21"/>
              </w:rPr>
            </w:pPr>
          </w:p>
        </w:tc>
        <w:tc>
          <w:tcPr>
            <w:tcW w:w="531" w:type="pct"/>
            <w:vAlign w:val="center"/>
          </w:tcPr>
          <w:p>
            <w:pPr>
              <w:spacing w:after="156" w:line="240" w:lineRule="auto"/>
              <w:ind w:firstLine="0" w:firstLineChars="0"/>
              <w:rPr>
                <w:sz w:val="21"/>
                <w:szCs w:val="21"/>
                <w:lang w:eastAsia="en-US"/>
              </w:rPr>
            </w:pPr>
            <w:r>
              <w:rPr>
                <w:rFonts w:hint="eastAsia"/>
                <w:sz w:val="21"/>
                <w:szCs w:val="21"/>
                <w:lang w:eastAsia="en-US"/>
              </w:rPr>
              <w:t>氧气浓度</w:t>
            </w:r>
          </w:p>
        </w:tc>
        <w:tc>
          <w:tcPr>
            <w:tcW w:w="2978" w:type="pct"/>
            <w:vAlign w:val="center"/>
          </w:tcPr>
          <w:p>
            <w:pPr>
              <w:spacing w:after="156" w:line="240" w:lineRule="auto"/>
              <w:ind w:firstLine="0" w:firstLineChars="0"/>
              <w:rPr>
                <w:sz w:val="21"/>
                <w:szCs w:val="21"/>
                <w:lang w:eastAsia="en-US"/>
              </w:rPr>
            </w:pPr>
            <w:r>
              <w:rPr>
                <w:rFonts w:hint="eastAsia"/>
                <w:sz w:val="21"/>
                <w:szCs w:val="21"/>
                <w:lang w:eastAsia="en-US"/>
              </w:rPr>
              <w:t>量程：0～30%vol；</w:t>
            </w:r>
          </w:p>
          <w:p>
            <w:pPr>
              <w:spacing w:after="156" w:line="240" w:lineRule="auto"/>
              <w:ind w:firstLine="0" w:firstLineChars="0"/>
              <w:rPr>
                <w:sz w:val="21"/>
                <w:szCs w:val="21"/>
                <w:lang w:eastAsia="en-US"/>
              </w:rPr>
            </w:pPr>
            <w:r>
              <w:rPr>
                <w:rFonts w:hint="eastAsia"/>
                <w:sz w:val="21"/>
                <w:szCs w:val="21"/>
                <w:lang w:eastAsia="en-US"/>
              </w:rPr>
              <w:t>精度：≤3%FS；</w:t>
            </w:r>
          </w:p>
          <w:p>
            <w:pPr>
              <w:spacing w:after="156" w:line="240" w:lineRule="auto"/>
              <w:ind w:firstLine="0" w:firstLineChars="0"/>
              <w:rPr>
                <w:sz w:val="21"/>
                <w:szCs w:val="21"/>
              </w:rPr>
            </w:pPr>
            <w:r>
              <w:rPr>
                <w:rFonts w:hint="eastAsia"/>
                <w:sz w:val="21"/>
                <w:szCs w:val="21"/>
              </w:rPr>
              <w:t>环境适用性：应具有防爆、防腐、防水等抗恶劣环境性能。</w:t>
            </w:r>
          </w:p>
        </w:tc>
        <w:tc>
          <w:tcPr>
            <w:tcW w:w="817" w:type="pct"/>
            <w:vAlign w:val="center"/>
          </w:tcPr>
          <w:p>
            <w:pPr>
              <w:spacing w:after="156" w:line="240" w:lineRule="auto"/>
              <w:ind w:firstLine="0" w:firstLineChars="0"/>
              <w:jc w:val="center"/>
              <w:rPr>
                <w:sz w:val="21"/>
                <w:szCs w:val="21"/>
                <w:lang w:eastAsia="en-US"/>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trPr>
        <w:tc>
          <w:tcPr>
            <w:tcW w:w="674" w:type="pct"/>
            <w:vMerge w:val="continue"/>
            <w:vAlign w:val="center"/>
          </w:tcPr>
          <w:p>
            <w:pPr>
              <w:spacing w:after="156" w:line="240" w:lineRule="auto"/>
              <w:ind w:firstLine="0" w:firstLineChars="0"/>
              <w:rPr>
                <w:sz w:val="21"/>
                <w:szCs w:val="21"/>
              </w:rPr>
            </w:pPr>
          </w:p>
        </w:tc>
        <w:tc>
          <w:tcPr>
            <w:tcW w:w="531" w:type="pct"/>
            <w:vAlign w:val="center"/>
          </w:tcPr>
          <w:p>
            <w:pPr>
              <w:spacing w:after="156" w:line="240" w:lineRule="auto"/>
              <w:ind w:firstLine="0" w:firstLineChars="0"/>
              <w:rPr>
                <w:sz w:val="21"/>
                <w:szCs w:val="21"/>
                <w:lang w:eastAsia="en-US"/>
              </w:rPr>
            </w:pPr>
            <w:r>
              <w:rPr>
                <w:rFonts w:hint="eastAsia"/>
                <w:sz w:val="21"/>
                <w:szCs w:val="21"/>
                <w:lang w:eastAsia="en-US"/>
              </w:rPr>
              <w:t>硫化氢浓度</w:t>
            </w:r>
          </w:p>
        </w:tc>
        <w:tc>
          <w:tcPr>
            <w:tcW w:w="2978" w:type="pct"/>
            <w:vAlign w:val="center"/>
          </w:tcPr>
          <w:p>
            <w:pPr>
              <w:spacing w:after="156" w:line="240" w:lineRule="auto"/>
              <w:ind w:firstLine="0" w:firstLineChars="0"/>
              <w:rPr>
                <w:sz w:val="21"/>
                <w:szCs w:val="21"/>
                <w:lang w:eastAsia="en-US"/>
              </w:rPr>
            </w:pPr>
            <w:r>
              <w:rPr>
                <w:rFonts w:hint="eastAsia"/>
                <w:sz w:val="21"/>
                <w:szCs w:val="21"/>
                <w:lang w:eastAsia="en-US"/>
              </w:rPr>
              <w:t>量程：0～100ppm；</w:t>
            </w:r>
          </w:p>
          <w:p>
            <w:pPr>
              <w:spacing w:after="156" w:line="240" w:lineRule="auto"/>
              <w:ind w:firstLine="0" w:firstLineChars="0"/>
              <w:rPr>
                <w:sz w:val="21"/>
                <w:szCs w:val="21"/>
                <w:lang w:eastAsia="en-US"/>
              </w:rPr>
            </w:pPr>
            <w:r>
              <w:rPr>
                <w:rFonts w:hint="eastAsia"/>
                <w:sz w:val="21"/>
                <w:szCs w:val="21"/>
                <w:lang w:eastAsia="en-US"/>
              </w:rPr>
              <w:t>精度：≤3%FS；</w:t>
            </w:r>
          </w:p>
          <w:p>
            <w:pPr>
              <w:spacing w:after="156" w:line="240" w:lineRule="auto"/>
              <w:ind w:firstLine="0" w:firstLineChars="0"/>
              <w:rPr>
                <w:sz w:val="21"/>
                <w:szCs w:val="21"/>
              </w:rPr>
            </w:pPr>
            <w:r>
              <w:rPr>
                <w:rFonts w:hint="eastAsia"/>
                <w:sz w:val="21"/>
                <w:szCs w:val="21"/>
              </w:rPr>
              <w:t>环境适用性：应具有防爆、防腐、防水等抗恶劣环境性能。</w:t>
            </w:r>
          </w:p>
        </w:tc>
        <w:tc>
          <w:tcPr>
            <w:tcW w:w="817" w:type="pct"/>
            <w:vAlign w:val="center"/>
          </w:tcPr>
          <w:p>
            <w:pPr>
              <w:spacing w:after="156" w:line="240" w:lineRule="auto"/>
              <w:ind w:firstLine="0" w:firstLineChars="0"/>
              <w:jc w:val="center"/>
              <w:rPr>
                <w:sz w:val="21"/>
                <w:szCs w:val="21"/>
                <w:lang w:eastAsia="en-US"/>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trPr>
        <w:tc>
          <w:tcPr>
            <w:tcW w:w="674" w:type="pct"/>
            <w:vMerge w:val="continue"/>
            <w:vAlign w:val="center"/>
          </w:tcPr>
          <w:p>
            <w:pPr>
              <w:spacing w:after="156" w:line="240" w:lineRule="auto"/>
              <w:ind w:firstLine="0" w:firstLineChars="0"/>
              <w:rPr>
                <w:sz w:val="21"/>
                <w:szCs w:val="21"/>
              </w:rPr>
            </w:pPr>
          </w:p>
        </w:tc>
        <w:tc>
          <w:tcPr>
            <w:tcW w:w="531" w:type="pct"/>
            <w:vAlign w:val="center"/>
          </w:tcPr>
          <w:p>
            <w:pPr>
              <w:spacing w:after="156" w:line="240" w:lineRule="auto"/>
              <w:ind w:firstLine="0" w:firstLineChars="0"/>
              <w:rPr>
                <w:sz w:val="21"/>
                <w:szCs w:val="21"/>
                <w:lang w:eastAsia="en-US"/>
              </w:rPr>
            </w:pPr>
            <w:r>
              <w:rPr>
                <w:rFonts w:hint="eastAsia"/>
                <w:sz w:val="21"/>
                <w:szCs w:val="21"/>
                <w:lang w:eastAsia="en-US"/>
              </w:rPr>
              <w:t>甲烷浓度</w:t>
            </w:r>
          </w:p>
        </w:tc>
        <w:tc>
          <w:tcPr>
            <w:tcW w:w="2978" w:type="pct"/>
            <w:vAlign w:val="center"/>
          </w:tcPr>
          <w:p>
            <w:pPr>
              <w:spacing w:after="156" w:line="240" w:lineRule="auto"/>
              <w:ind w:firstLine="0" w:firstLineChars="0"/>
              <w:rPr>
                <w:sz w:val="21"/>
                <w:szCs w:val="21"/>
                <w:lang w:eastAsia="en-US"/>
              </w:rPr>
            </w:pPr>
            <w:r>
              <w:rPr>
                <w:rFonts w:hint="eastAsia"/>
                <w:sz w:val="21"/>
                <w:szCs w:val="21"/>
                <w:lang w:eastAsia="en-US"/>
              </w:rPr>
              <w:t>量程：0～100%LEL；</w:t>
            </w:r>
          </w:p>
          <w:p>
            <w:pPr>
              <w:spacing w:after="156" w:line="240" w:lineRule="auto"/>
              <w:ind w:firstLine="0" w:firstLineChars="0"/>
              <w:rPr>
                <w:sz w:val="21"/>
                <w:szCs w:val="21"/>
                <w:lang w:eastAsia="en-US"/>
              </w:rPr>
            </w:pPr>
            <w:r>
              <w:rPr>
                <w:rFonts w:hint="eastAsia"/>
                <w:sz w:val="21"/>
                <w:szCs w:val="21"/>
                <w:lang w:eastAsia="en-US"/>
              </w:rPr>
              <w:t>精度：1%LEL；</w:t>
            </w:r>
          </w:p>
          <w:p>
            <w:pPr>
              <w:spacing w:after="156" w:line="240" w:lineRule="auto"/>
              <w:ind w:firstLine="0" w:firstLineChars="0"/>
              <w:rPr>
                <w:sz w:val="21"/>
                <w:szCs w:val="21"/>
              </w:rPr>
            </w:pPr>
            <w:r>
              <w:rPr>
                <w:rFonts w:hint="eastAsia"/>
                <w:sz w:val="21"/>
                <w:szCs w:val="21"/>
              </w:rPr>
              <w:t>环境适用性：应具有防爆、防腐、防水等抗恶劣环境性能。</w:t>
            </w:r>
          </w:p>
        </w:tc>
        <w:tc>
          <w:tcPr>
            <w:tcW w:w="817" w:type="pct"/>
            <w:vAlign w:val="center"/>
          </w:tcPr>
          <w:p>
            <w:pPr>
              <w:spacing w:after="156" w:line="240" w:lineRule="auto"/>
              <w:ind w:firstLine="0" w:firstLineChars="0"/>
              <w:jc w:val="center"/>
              <w:rPr>
                <w:sz w:val="21"/>
                <w:szCs w:val="21"/>
                <w:lang w:eastAsia="en-US"/>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5" w:hRule="atLeast"/>
        </w:trPr>
        <w:tc>
          <w:tcPr>
            <w:tcW w:w="674" w:type="pct"/>
            <w:vMerge w:val="continue"/>
            <w:vAlign w:val="center"/>
          </w:tcPr>
          <w:p>
            <w:pPr>
              <w:spacing w:after="156" w:line="240" w:lineRule="auto"/>
              <w:ind w:firstLine="0" w:firstLineChars="0"/>
              <w:rPr>
                <w:sz w:val="21"/>
                <w:szCs w:val="21"/>
              </w:rPr>
            </w:pPr>
          </w:p>
        </w:tc>
        <w:tc>
          <w:tcPr>
            <w:tcW w:w="531" w:type="pct"/>
            <w:vAlign w:val="center"/>
          </w:tcPr>
          <w:p>
            <w:pPr>
              <w:spacing w:after="156" w:line="240" w:lineRule="auto"/>
              <w:ind w:firstLine="0" w:firstLineChars="0"/>
              <w:rPr>
                <w:sz w:val="21"/>
                <w:szCs w:val="21"/>
                <w:lang w:eastAsia="en-US"/>
              </w:rPr>
            </w:pPr>
            <w:r>
              <w:rPr>
                <w:rFonts w:hint="eastAsia"/>
                <w:sz w:val="21"/>
                <w:szCs w:val="21"/>
                <w:lang w:eastAsia="en-US"/>
              </w:rPr>
              <w:t>水位</w:t>
            </w:r>
          </w:p>
        </w:tc>
        <w:tc>
          <w:tcPr>
            <w:tcW w:w="2978" w:type="pct"/>
            <w:vAlign w:val="center"/>
          </w:tcPr>
          <w:p>
            <w:pPr>
              <w:spacing w:after="156" w:line="240" w:lineRule="auto"/>
              <w:ind w:firstLine="0" w:firstLineChars="0"/>
              <w:rPr>
                <w:sz w:val="21"/>
                <w:szCs w:val="21"/>
                <w:lang w:eastAsia="en-US"/>
              </w:rPr>
            </w:pPr>
            <w:r>
              <w:rPr>
                <w:rFonts w:hint="eastAsia"/>
                <w:sz w:val="21"/>
                <w:szCs w:val="21"/>
                <w:lang w:eastAsia="en-US"/>
              </w:rPr>
              <w:t>量程：0～8m；</w:t>
            </w:r>
          </w:p>
          <w:p>
            <w:pPr>
              <w:spacing w:after="156" w:line="240" w:lineRule="auto"/>
              <w:ind w:firstLine="0" w:firstLineChars="0"/>
              <w:rPr>
                <w:sz w:val="21"/>
                <w:szCs w:val="21"/>
                <w:lang w:eastAsia="en-US"/>
              </w:rPr>
            </w:pPr>
            <w:r>
              <w:rPr>
                <w:rFonts w:hint="eastAsia"/>
                <w:sz w:val="21"/>
                <w:szCs w:val="21"/>
                <w:lang w:eastAsia="en-US"/>
              </w:rPr>
              <w:t>精度：±1%；</w:t>
            </w:r>
          </w:p>
          <w:p>
            <w:pPr>
              <w:spacing w:after="156" w:line="240" w:lineRule="auto"/>
              <w:ind w:firstLine="0" w:firstLineChars="0"/>
              <w:rPr>
                <w:sz w:val="21"/>
                <w:szCs w:val="21"/>
              </w:rPr>
            </w:pPr>
            <w:r>
              <w:rPr>
                <w:rFonts w:hint="eastAsia"/>
                <w:sz w:val="21"/>
                <w:szCs w:val="21"/>
              </w:rPr>
              <w:t>分辨率：0.01m；</w:t>
            </w:r>
          </w:p>
          <w:p>
            <w:pPr>
              <w:spacing w:after="156" w:line="240" w:lineRule="auto"/>
              <w:ind w:firstLine="0" w:firstLineChars="0"/>
              <w:rPr>
                <w:sz w:val="21"/>
                <w:szCs w:val="21"/>
              </w:rPr>
            </w:pPr>
            <w:r>
              <w:rPr>
                <w:rFonts w:hint="eastAsia"/>
                <w:sz w:val="21"/>
                <w:szCs w:val="21"/>
              </w:rPr>
              <w:t>环境适用性：应具有防爆、防腐、防水等抗恶劣环境性能。</w:t>
            </w:r>
          </w:p>
        </w:tc>
        <w:tc>
          <w:tcPr>
            <w:tcW w:w="817" w:type="pct"/>
            <w:vAlign w:val="center"/>
          </w:tcPr>
          <w:p>
            <w:pPr>
              <w:spacing w:after="156" w:line="240" w:lineRule="auto"/>
              <w:ind w:firstLine="0" w:firstLineChars="0"/>
              <w:jc w:val="center"/>
              <w:rPr>
                <w:sz w:val="21"/>
                <w:szCs w:val="21"/>
                <w:lang w:eastAsia="en-US"/>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trPr>
        <w:tc>
          <w:tcPr>
            <w:tcW w:w="674" w:type="pct"/>
            <w:vMerge w:val="restart"/>
            <w:vAlign w:val="center"/>
          </w:tcPr>
          <w:p>
            <w:pPr>
              <w:spacing w:after="156" w:line="240" w:lineRule="auto"/>
              <w:ind w:firstLine="0" w:firstLineChars="0"/>
              <w:rPr>
                <w:sz w:val="21"/>
                <w:szCs w:val="21"/>
                <w:lang w:eastAsia="en-US"/>
              </w:rPr>
            </w:pPr>
            <w:r>
              <w:rPr>
                <w:rFonts w:hint="eastAsia"/>
                <w:sz w:val="21"/>
                <w:szCs w:val="21"/>
                <w:lang w:eastAsia="en-US"/>
              </w:rPr>
              <w:t>廊体结构</w:t>
            </w:r>
          </w:p>
        </w:tc>
        <w:tc>
          <w:tcPr>
            <w:tcW w:w="531" w:type="pct"/>
            <w:vAlign w:val="center"/>
          </w:tcPr>
          <w:p>
            <w:pPr>
              <w:spacing w:after="156" w:line="240" w:lineRule="auto"/>
              <w:ind w:firstLine="0" w:firstLineChars="0"/>
              <w:rPr>
                <w:sz w:val="21"/>
                <w:szCs w:val="21"/>
                <w:lang w:eastAsia="en-US"/>
              </w:rPr>
            </w:pPr>
            <w:r>
              <w:rPr>
                <w:rFonts w:hint="eastAsia"/>
                <w:sz w:val="21"/>
                <w:szCs w:val="21"/>
                <w:lang w:eastAsia="en-US"/>
              </w:rPr>
              <w:t>位移</w:t>
            </w:r>
          </w:p>
        </w:tc>
        <w:tc>
          <w:tcPr>
            <w:tcW w:w="2978" w:type="pct"/>
            <w:vAlign w:val="center"/>
          </w:tcPr>
          <w:p>
            <w:pPr>
              <w:spacing w:after="156" w:line="240" w:lineRule="auto"/>
              <w:ind w:firstLine="0" w:firstLineChars="0"/>
              <w:rPr>
                <w:sz w:val="21"/>
                <w:szCs w:val="21"/>
              </w:rPr>
            </w:pPr>
            <w:r>
              <w:rPr>
                <w:rFonts w:hint="eastAsia"/>
                <w:sz w:val="21"/>
                <w:szCs w:val="21"/>
              </w:rPr>
              <w:t>量程：0～500mm；</w:t>
            </w:r>
          </w:p>
          <w:p>
            <w:pPr>
              <w:spacing w:after="156" w:line="240" w:lineRule="auto"/>
              <w:ind w:firstLine="0" w:firstLineChars="0"/>
              <w:rPr>
                <w:sz w:val="21"/>
                <w:szCs w:val="21"/>
              </w:rPr>
            </w:pPr>
            <w:r>
              <w:rPr>
                <w:rFonts w:hint="eastAsia"/>
                <w:sz w:val="21"/>
                <w:szCs w:val="21"/>
              </w:rPr>
              <w:t>测量精度：0.1%FS；</w:t>
            </w:r>
          </w:p>
          <w:p>
            <w:pPr>
              <w:spacing w:after="156" w:line="240" w:lineRule="auto"/>
              <w:ind w:firstLine="0" w:firstLineChars="0"/>
              <w:rPr>
                <w:sz w:val="21"/>
                <w:szCs w:val="21"/>
              </w:rPr>
            </w:pPr>
            <w:r>
              <w:rPr>
                <w:rFonts w:hint="eastAsia"/>
                <w:sz w:val="21"/>
                <w:szCs w:val="21"/>
              </w:rPr>
              <w:t>环境适用性：应具有防爆、防腐、防水等抗恶劣环境性能。</w:t>
            </w:r>
          </w:p>
        </w:tc>
        <w:tc>
          <w:tcPr>
            <w:tcW w:w="817" w:type="pct"/>
            <w:vAlign w:val="center"/>
          </w:tcPr>
          <w:p>
            <w:pPr>
              <w:spacing w:after="156" w:line="240" w:lineRule="auto"/>
              <w:ind w:firstLine="0" w:firstLineChars="0"/>
              <w:jc w:val="center"/>
              <w:rPr>
                <w:sz w:val="21"/>
                <w:szCs w:val="21"/>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trPr>
        <w:tc>
          <w:tcPr>
            <w:tcW w:w="674" w:type="pct"/>
            <w:vMerge w:val="continue"/>
            <w:vAlign w:val="center"/>
          </w:tcPr>
          <w:p>
            <w:pPr>
              <w:spacing w:after="156" w:line="240" w:lineRule="auto"/>
              <w:ind w:firstLine="0" w:firstLineChars="0"/>
              <w:rPr>
                <w:sz w:val="21"/>
                <w:szCs w:val="21"/>
              </w:rPr>
            </w:pPr>
          </w:p>
        </w:tc>
        <w:tc>
          <w:tcPr>
            <w:tcW w:w="531" w:type="pct"/>
            <w:vAlign w:val="center"/>
          </w:tcPr>
          <w:p>
            <w:pPr>
              <w:spacing w:after="156" w:line="240" w:lineRule="auto"/>
              <w:ind w:firstLine="0" w:firstLineChars="0"/>
              <w:rPr>
                <w:sz w:val="21"/>
                <w:szCs w:val="21"/>
                <w:lang w:eastAsia="en-US"/>
              </w:rPr>
            </w:pPr>
            <w:r>
              <w:rPr>
                <w:rFonts w:hint="eastAsia"/>
                <w:sz w:val="21"/>
                <w:szCs w:val="21"/>
                <w:lang w:eastAsia="en-US"/>
              </w:rPr>
              <w:t>沉降</w:t>
            </w:r>
          </w:p>
        </w:tc>
        <w:tc>
          <w:tcPr>
            <w:tcW w:w="2978" w:type="pct"/>
            <w:vAlign w:val="center"/>
          </w:tcPr>
          <w:p>
            <w:pPr>
              <w:spacing w:after="156" w:line="240" w:lineRule="auto"/>
              <w:ind w:firstLine="0" w:firstLineChars="0"/>
              <w:rPr>
                <w:sz w:val="21"/>
                <w:szCs w:val="21"/>
              </w:rPr>
            </w:pPr>
            <w:r>
              <w:rPr>
                <w:rFonts w:hint="eastAsia"/>
                <w:sz w:val="21"/>
                <w:szCs w:val="21"/>
              </w:rPr>
              <w:t>量程：0～100mm；</w:t>
            </w:r>
          </w:p>
          <w:p>
            <w:pPr>
              <w:spacing w:after="156" w:line="240" w:lineRule="auto"/>
              <w:ind w:firstLine="0" w:firstLineChars="0"/>
              <w:rPr>
                <w:sz w:val="21"/>
                <w:szCs w:val="21"/>
              </w:rPr>
            </w:pPr>
            <w:r>
              <w:rPr>
                <w:rFonts w:hint="eastAsia"/>
                <w:sz w:val="21"/>
                <w:szCs w:val="21"/>
              </w:rPr>
              <w:t>测量精度：0.1%FS；</w:t>
            </w:r>
          </w:p>
          <w:p>
            <w:pPr>
              <w:spacing w:after="156" w:line="240" w:lineRule="auto"/>
              <w:ind w:firstLine="0" w:firstLineChars="0"/>
              <w:rPr>
                <w:sz w:val="21"/>
                <w:szCs w:val="21"/>
              </w:rPr>
            </w:pPr>
            <w:r>
              <w:rPr>
                <w:rFonts w:hint="eastAsia"/>
                <w:sz w:val="21"/>
                <w:szCs w:val="21"/>
              </w:rPr>
              <w:t>环境适用性：应具有防爆、防腐、防水等抗恶劣环境性能。</w:t>
            </w:r>
          </w:p>
        </w:tc>
        <w:tc>
          <w:tcPr>
            <w:tcW w:w="817" w:type="pct"/>
            <w:vAlign w:val="center"/>
          </w:tcPr>
          <w:p>
            <w:pPr>
              <w:spacing w:after="156" w:line="240" w:lineRule="auto"/>
              <w:ind w:firstLine="0" w:firstLineChars="0"/>
              <w:jc w:val="center"/>
              <w:rPr>
                <w:sz w:val="21"/>
                <w:szCs w:val="21"/>
              </w:rPr>
            </w:pPr>
            <w:r>
              <w:rPr>
                <w:rFonts w:hint="eastAsia"/>
                <w:sz w:val="24"/>
              </w:rPr>
              <w:t>▲</w:t>
            </w:r>
          </w:p>
        </w:tc>
      </w:tr>
      <w:bookmarkEnd w:id="85"/>
    </w:tbl>
    <w:p>
      <w:pPr>
        <w:spacing w:after="156"/>
        <w:ind w:firstLine="0" w:firstLineChars="0"/>
        <w:jc w:val="center"/>
        <w:rPr>
          <w:sz w:val="24"/>
        </w:rPr>
      </w:pPr>
      <w:r>
        <w:rPr>
          <w:rFonts w:hint="eastAsia"/>
          <w:sz w:val="24"/>
        </w:rPr>
        <w:t>备注：★应监测指标▲宜监测指标</w:t>
      </w:r>
    </w:p>
    <w:p>
      <w:pPr>
        <w:spacing w:after="156"/>
      </w:pPr>
      <w:r>
        <w:rPr>
          <w:rFonts w:hint="eastAsia"/>
        </w:rPr>
        <w:t>相关数据要求主要引自《城镇综合管廊监控与报警系统工程技术标准》（</w:t>
      </w:r>
      <w:r>
        <w:t>GB/T51274</w:t>
      </w:r>
      <w:r>
        <w:rPr>
          <w:rFonts w:hint="eastAsia"/>
        </w:rPr>
        <w:t>）、《城市地下综合管廊运行维护及安全技术标准》（</w:t>
      </w:r>
      <w:r>
        <w:t>GB51354</w:t>
      </w:r>
      <w:r>
        <w:rPr>
          <w:rFonts w:hint="eastAsia"/>
        </w:rPr>
        <w:t>）和《城市综合管廊运营服务规范》（</w:t>
      </w:r>
      <w:r>
        <w:t>GB/T38550</w:t>
      </w:r>
      <w:r>
        <w:rPr>
          <w:rFonts w:hint="eastAsia"/>
        </w:rPr>
        <w:t>）。依据《城市地下综合管廊运行维护及安全技术标准》（GB51354-2019）、《城镇综合管廊监控与报警系统工程技术标准》（GB/T51274-2017）、《城市综合管廊运营服务规范》（GB/T38550-2020）等标准，共享接入管廊本体结构、廊内环境的监控数据。</w:t>
      </w:r>
    </w:p>
    <w:p>
      <w:pPr>
        <w:spacing w:after="156"/>
      </w:pPr>
      <w:r>
        <w:rPr>
          <w:rFonts w:hint="eastAsia"/>
        </w:rPr>
        <w:t>考虑入廊管线集中后的耦合风险和次生衍生灾害的防控需求，针对入廊管线运行风险感知。优先选择以下部位或区域进行风险监测：</w:t>
      </w:r>
    </w:p>
    <w:p>
      <w:pPr>
        <w:spacing w:after="156"/>
        <w:ind w:firstLine="602"/>
      </w:pPr>
      <w:r>
        <w:rPr>
          <w:rFonts w:hint="eastAsia"/>
          <w:b/>
          <w:bCs/>
        </w:rPr>
        <w:t>（1）入廊管线：</w:t>
      </w:r>
      <w:r>
        <w:rPr>
          <w:rFonts w:hint="eastAsia"/>
        </w:rPr>
        <w:t>含热力管线的舱室顶部布设分布式光纤温度传感探测点位；燃气管线舱室每个防火分区内至少布设2个可燃气体监测点位，且阀门及关键节点处布设可燃气体监测点位；电力电缆布设分布式光纤温度传感探测点位。</w:t>
      </w:r>
    </w:p>
    <w:p>
      <w:pPr>
        <w:spacing w:after="156"/>
        <w:ind w:firstLine="602"/>
      </w:pPr>
      <w:r>
        <w:rPr>
          <w:rFonts w:hint="eastAsia"/>
          <w:b/>
          <w:bCs/>
        </w:rPr>
        <w:t>（2）廊内环境：</w:t>
      </w:r>
      <w:r>
        <w:rPr>
          <w:rFonts w:hint="eastAsia"/>
        </w:rPr>
        <w:t>间距不大于200米且每个通风区间范围内，布设氧气、温度、湿度传感器一个点位；廊内每个排水区间地势最低区域布设危险水位监测点位；廊内易积水的区域布设有毒气体浓度（H2S）、甲烷气体浓度监测点位。</w:t>
      </w:r>
    </w:p>
    <w:p>
      <w:pPr>
        <w:pStyle w:val="2"/>
        <w:spacing w:after="156"/>
      </w:pPr>
      <w:bookmarkStart w:id="86" w:name="_Toc184031844"/>
      <w:bookmarkStart w:id="87" w:name="_Toc182299757"/>
      <w:r>
        <w:rPr>
          <w:rFonts w:hint="eastAsia"/>
        </w:rPr>
        <w:t>城市生命线安全运行监测平台构建要求</w:t>
      </w:r>
      <w:bookmarkEnd w:id="86"/>
      <w:bookmarkEnd w:id="87"/>
    </w:p>
    <w:p>
      <w:pPr>
        <w:spacing w:after="156"/>
      </w:pPr>
    </w:p>
    <w:p>
      <w:pPr>
        <w:spacing w:after="156"/>
      </w:pPr>
      <w:r>
        <w:rPr>
          <w:rFonts w:hint="eastAsia"/>
        </w:rPr>
        <w:t>市级城市生命线安全运行监测平台遵循“统筹规划、集约建设、统一标准、统一管理”为总体规划原则，</w:t>
      </w:r>
      <w:r>
        <w:rPr>
          <w:rFonts w:hint="eastAsia"/>
          <w:lang w:val="en-US" w:eastAsia="zh-CN"/>
        </w:rPr>
        <w:t>省厅结合数字城建档案馆项目建设，统筹安排城市运管服平台中涉及城市生命线安全监测模块的部署使用工作</w:t>
      </w:r>
      <w:r>
        <w:rPr>
          <w:rFonts w:hint="eastAsia"/>
        </w:rPr>
        <w:t>，系统功能包含综合安全应用和行业专项应用，各市州可在基础版本基础上结合本地业务实际进行综合安全驾驶舱、预测预警分析、风险评估管理、辅助决策分析等功能拓展建设，并完成与省级平台的数据对接和业务协同。</w:t>
      </w:r>
    </w:p>
    <w:p>
      <w:pPr>
        <w:pStyle w:val="3"/>
        <w:spacing w:after="156"/>
      </w:pPr>
      <w:bookmarkStart w:id="88" w:name="_Toc182299758"/>
      <w:bookmarkStart w:id="89" w:name="_Toc184031845"/>
      <w:bookmarkStart w:id="90" w:name="_Hlk163819438"/>
      <w:r>
        <w:rPr>
          <w:rFonts w:hint="eastAsia"/>
        </w:rPr>
        <w:t>平台应用系统建设要求</w:t>
      </w:r>
      <w:bookmarkEnd w:id="88"/>
      <w:bookmarkEnd w:id="89"/>
    </w:p>
    <w:p>
      <w:pPr>
        <w:pStyle w:val="4"/>
        <w:spacing w:after="156"/>
      </w:pPr>
      <w:bookmarkStart w:id="91" w:name="_Hlk163819482"/>
      <w:bookmarkStart w:id="92" w:name="_Toc184031846"/>
      <w:bookmarkStart w:id="93" w:name="_Toc182299759"/>
      <w:r>
        <w:rPr>
          <w:rFonts w:hint="eastAsia"/>
        </w:rPr>
        <w:t>综合安全应用</w:t>
      </w:r>
      <w:bookmarkEnd w:id="91"/>
      <w:r>
        <w:rPr>
          <w:rFonts w:hint="eastAsia"/>
        </w:rPr>
        <w:t>建设要求</w:t>
      </w:r>
      <w:bookmarkEnd w:id="92"/>
      <w:bookmarkEnd w:id="93"/>
    </w:p>
    <w:p>
      <w:pPr>
        <w:pStyle w:val="5"/>
        <w:spacing w:after="156"/>
      </w:pPr>
      <w:r>
        <w:rPr>
          <w:rFonts w:hint="eastAsia"/>
        </w:rPr>
        <w:t>预警联动处置系统建设要求</w:t>
      </w:r>
    </w:p>
    <w:p>
      <w:pPr>
        <w:spacing w:after="156"/>
      </w:pPr>
      <w:r>
        <w:rPr>
          <w:rFonts w:hint="eastAsia"/>
        </w:rPr>
        <w:t>通过接入燃气、供水、排水、桥梁、综合管廊等行业预警信息，实现预警事件生成、预警发布的全过程智能化管理，功能需包括预警总览和预警发布。</w:t>
      </w:r>
    </w:p>
    <w:p>
      <w:pPr>
        <w:spacing w:after="156"/>
        <w:ind w:firstLine="602"/>
        <w:rPr>
          <w:b/>
          <w:bCs/>
        </w:rPr>
      </w:pPr>
      <w:r>
        <w:rPr>
          <w:rFonts w:hint="eastAsia"/>
          <w:b/>
          <w:bCs/>
        </w:rPr>
        <w:t>1、预警总览。</w:t>
      </w:r>
      <w:r>
        <w:rPr>
          <w:rFonts w:hint="eastAsia" w:ascii="仿宋" w:hAnsi="仿宋" w:cs="仿宋"/>
          <w:szCs w:val="32"/>
        </w:rPr>
        <w:t>通过对城市生命线安全运行预警事件的汇聚，总体展示当时预警数、预警总数、未解除预警数和已解除预警数等内容，辅助管理人员掌握总体运行态势。</w:t>
      </w:r>
    </w:p>
    <w:p>
      <w:pPr>
        <w:spacing w:after="156"/>
        <w:ind w:firstLine="602"/>
        <w:rPr>
          <w:b/>
          <w:bCs/>
        </w:rPr>
      </w:pPr>
      <w:r>
        <w:rPr>
          <w:rFonts w:hint="eastAsia"/>
          <w:b/>
          <w:bCs/>
        </w:rPr>
        <w:t>2、预警发布。</w:t>
      </w:r>
      <w:r>
        <w:rPr>
          <w:rFonts w:hint="eastAsia" w:ascii="仿宋" w:hAnsi="仿宋" w:cs="仿宋"/>
          <w:szCs w:val="32"/>
        </w:rPr>
        <w:t>实现对不同类型预警事件信息的发布，支持对发布的预警信息通过预警类型、预警级别、发布时间等进行查询、查看等操作管理。</w:t>
      </w:r>
    </w:p>
    <w:p>
      <w:pPr>
        <w:pStyle w:val="5"/>
        <w:spacing w:after="156"/>
      </w:pPr>
      <w:r>
        <w:rPr>
          <w:rFonts w:hint="eastAsia"/>
        </w:rPr>
        <w:t>“综合改一次”管理系统建设要求</w:t>
      </w:r>
    </w:p>
    <w:p>
      <w:pPr>
        <w:spacing w:after="156"/>
      </w:pPr>
      <w:r>
        <w:rPr>
          <w:rFonts w:hint="eastAsia"/>
        </w:rPr>
        <w:t>“综合改一次”管理系统需实现对 “综合改一次”完成进度数据的填报管理，各市州按月以表单形式填报更新“综合改一次”数据，进行统计分析展示。</w:t>
      </w:r>
    </w:p>
    <w:p>
      <w:pPr>
        <w:pStyle w:val="5"/>
        <w:spacing w:after="156"/>
      </w:pPr>
      <w:r>
        <w:rPr>
          <w:rFonts w:hint="eastAsia"/>
        </w:rPr>
        <w:t>工程进度管理系统建设要求</w:t>
      </w:r>
    </w:p>
    <w:p>
      <w:pPr>
        <w:spacing w:after="156"/>
      </w:pPr>
      <w:r>
        <w:rPr>
          <w:rFonts w:hint="eastAsia"/>
        </w:rPr>
        <w:t>工程进度管理系统需实现对城市生命线相关工程项目和完成进度数据的填报管理，各市州按月以表单形式填报更新工程进度数据，进行统计分析展示。</w:t>
      </w:r>
    </w:p>
    <w:p>
      <w:pPr>
        <w:pStyle w:val="4"/>
        <w:spacing w:after="156"/>
      </w:pPr>
      <w:bookmarkStart w:id="94" w:name="_Toc182299760"/>
      <w:bookmarkStart w:id="95" w:name="_Toc184031847"/>
      <w:r>
        <w:rPr>
          <w:rFonts w:hint="eastAsia"/>
        </w:rPr>
        <w:t>行业专项应用建设要求</w:t>
      </w:r>
      <w:bookmarkEnd w:id="94"/>
      <w:bookmarkEnd w:id="95"/>
    </w:p>
    <w:p>
      <w:pPr>
        <w:pStyle w:val="5"/>
        <w:spacing w:after="156"/>
      </w:pPr>
      <w:r>
        <w:rPr>
          <w:rFonts w:hint="eastAsia"/>
        </w:rPr>
        <w:t>燃气管网及相邻空间安全监测应用系统建设要求</w:t>
      </w:r>
    </w:p>
    <w:p>
      <w:pPr>
        <w:spacing w:after="156"/>
      </w:pPr>
      <w:r>
        <w:rPr>
          <w:rFonts w:hint="eastAsia"/>
        </w:rPr>
        <w:t>系统围绕燃气专项场景的安全运行监测管理，主要实现燃气监测设备的统一管理和燃气管网及相邻空间安全运行的动态监测与报警管理。</w:t>
      </w:r>
    </w:p>
    <w:p>
      <w:pPr>
        <w:spacing w:after="156" w:line="560" w:lineRule="exact"/>
        <w:ind w:firstLine="602"/>
        <w:rPr>
          <w:rFonts w:hint="eastAsia" w:ascii="仿宋" w:hAnsi="仿宋" w:cs="仿宋"/>
          <w:szCs w:val="32"/>
        </w:rPr>
      </w:pPr>
      <w:r>
        <w:rPr>
          <w:rFonts w:hint="eastAsia"/>
          <w:b/>
          <w:bCs/>
        </w:rPr>
        <w:t>1、燃气监测设备管理。</w:t>
      </w:r>
      <w:r>
        <w:rPr>
          <w:rFonts w:hint="eastAsia" w:ascii="仿宋" w:hAnsi="仿宋" w:cs="仿宋"/>
          <w:szCs w:val="32"/>
        </w:rPr>
        <w:t>为提高监测预警的时效性和工作质量，需全面准确掌握燃气监测设备情况，包括设备基础信息、设备运行状态、设备异常处置等功能，并形成监测设备GIS一张图展示。</w:t>
      </w:r>
    </w:p>
    <w:p>
      <w:pPr>
        <w:spacing w:after="156" w:line="560" w:lineRule="exact"/>
        <w:ind w:firstLine="602"/>
        <w:rPr>
          <w:rFonts w:hint="eastAsia" w:ascii="仿宋" w:hAnsi="仿宋" w:cs="仿宋"/>
          <w:szCs w:val="32"/>
        </w:rPr>
      </w:pPr>
      <w:r>
        <w:rPr>
          <w:rFonts w:hint="eastAsia"/>
          <w:b/>
          <w:bCs/>
        </w:rPr>
        <w:t>2、动态监测与报警。</w:t>
      </w:r>
      <w:r>
        <w:rPr>
          <w:rFonts w:hint="eastAsia" w:ascii="仿宋" w:hAnsi="仿宋" w:cs="仿宋"/>
          <w:szCs w:val="32"/>
        </w:rPr>
        <w:t>通过对可燃气体探测及报警规则设置，直观、全面、实时地掌握燃气管网及相邻空间的安全运行状况，为预防与控制燃气安全事故的发生提供重要的信息和技术支持。建设内容包括燃气运行监测管理和燃气监测报警管理。</w:t>
      </w:r>
    </w:p>
    <w:p>
      <w:pPr>
        <w:spacing w:after="156" w:line="560" w:lineRule="exact"/>
        <w:rPr>
          <w:rFonts w:hint="eastAsia" w:ascii="仿宋" w:hAnsi="仿宋" w:cs="仿宋"/>
          <w:szCs w:val="32"/>
        </w:rPr>
      </w:pPr>
      <w:r>
        <w:rPr>
          <w:rFonts w:hint="eastAsia" w:ascii="仿宋" w:hAnsi="仿宋" w:cs="仿宋"/>
          <w:szCs w:val="32"/>
        </w:rPr>
        <w:t>（1）燃气运行监测管理。对燃气管网、场站、相邻地下空间等业务场景进行实时监测，并基于GIS地理信息系统建立燃气安全实时监测一张图，将燃气管网相邻地下空间监测、管线压力监测、流量监测、场站、振动监测等进行分类图层展示，实现24小时全天候不间断监控，有效补充人工巡检的局限性，为行业监管单位掌握动态数据提供了保障。</w:t>
      </w:r>
    </w:p>
    <w:p>
      <w:pPr>
        <w:spacing w:after="156" w:line="560" w:lineRule="exact"/>
        <w:rPr>
          <w:rFonts w:hint="eastAsia" w:ascii="仿宋" w:hAnsi="仿宋" w:cs="仿宋"/>
          <w:szCs w:val="32"/>
        </w:rPr>
      </w:pPr>
      <w:r>
        <w:rPr>
          <w:rFonts w:hint="eastAsia" w:ascii="仿宋" w:hAnsi="仿宋" w:cs="仿宋"/>
          <w:szCs w:val="32"/>
        </w:rPr>
        <w:t>（2）燃气监测报警管理。对燃气管网相邻地下空间甲烷气体浓度、管网流量、管网压力、场站燃气泄漏等数据进行集成处理，实时感知燃气安全运行状态，科学设置报警阈值，一旦大于设定阈值，自动启动报警。同时，可获取报警详细信息，包括报警时间、报警位置、最高报警级别、当前报警级别、可燃气体实时浓度等信息，以便进行后续报警处置。燃气泄漏报警包括燃气管线压力异常提醒、管线流量异常提醒、场站可燃气体浓度异常报警、相邻地下空间可燃气体浓度异常报警等。</w:t>
      </w:r>
    </w:p>
    <w:p>
      <w:pPr>
        <w:pStyle w:val="5"/>
        <w:spacing w:after="156"/>
      </w:pPr>
      <w:r>
        <w:rPr>
          <w:rFonts w:hint="eastAsia"/>
        </w:rPr>
        <w:t>排水管网安全监测应用系统要求</w:t>
      </w:r>
    </w:p>
    <w:p>
      <w:pPr>
        <w:spacing w:after="156"/>
      </w:pPr>
      <w:r>
        <w:rPr>
          <w:rFonts w:hint="eastAsia"/>
        </w:rPr>
        <w:t>系统围绕排水专项场景的安全运行监测管理，主要实现排水监测设备的统一管理和排水安全运行的动态监测与报警管理。</w:t>
      </w:r>
    </w:p>
    <w:p>
      <w:pPr>
        <w:spacing w:after="156"/>
        <w:ind w:firstLine="602"/>
      </w:pPr>
      <w:r>
        <w:rPr>
          <w:rFonts w:hint="eastAsia"/>
          <w:b/>
          <w:bCs/>
        </w:rPr>
        <w:t>1、排水监测设备管理。</w:t>
      </w:r>
      <w:r>
        <w:rPr>
          <w:rFonts w:hint="eastAsia" w:ascii="仿宋" w:hAnsi="仿宋" w:cs="仿宋"/>
          <w:szCs w:val="32"/>
        </w:rPr>
        <w:t>对排水管网运行监测设备提供统一管理和维护，包括设备台账管理、设备阈值配置管理、监测点管理、设备异常管理等功能，并形成监测设备GIS一张图展示</w:t>
      </w:r>
      <w:r>
        <w:rPr>
          <w:rFonts w:hint="eastAsia"/>
        </w:rPr>
        <w:t>。</w:t>
      </w:r>
    </w:p>
    <w:p>
      <w:pPr>
        <w:spacing w:after="156"/>
        <w:ind w:firstLine="602"/>
      </w:pPr>
      <w:r>
        <w:rPr>
          <w:rFonts w:hint="eastAsia"/>
          <w:b/>
          <w:bCs/>
        </w:rPr>
        <w:t>2、动态监测与报警。</w:t>
      </w:r>
      <w:r>
        <w:rPr>
          <w:rFonts w:hint="eastAsia" w:ascii="仿宋" w:hAnsi="仿宋" w:cs="仿宋"/>
          <w:szCs w:val="32"/>
        </w:rPr>
        <w:t>排水动态监测与报警是对防止发生城市内涝提供有力保障的系统，通过接入前端设备监测数据，在线监测排水系统运行状态，方便管理单位实时、全面掌握排水系统运行状态</w:t>
      </w:r>
      <w:r>
        <w:rPr>
          <w:rFonts w:hint="eastAsia"/>
        </w:rPr>
        <w:t>。建设内容包括排水运行监测管理和排水监测报警管理。</w:t>
      </w:r>
    </w:p>
    <w:p>
      <w:pPr>
        <w:spacing w:after="156"/>
      </w:pPr>
      <w:r>
        <w:rPr>
          <w:rFonts w:hint="eastAsia"/>
        </w:rPr>
        <w:t>（1）排水运行监测管理。</w:t>
      </w:r>
      <w:r>
        <w:rPr>
          <w:rFonts w:hint="eastAsia" w:ascii="仿宋" w:hAnsi="仿宋" w:cs="仿宋"/>
          <w:szCs w:val="32"/>
        </w:rPr>
        <w:t>通过接入前端感知设备获取排水系统的流量、液位等信息，为分析排水系统的运行状态和问题提供大量的数据基础，实现排水运行状况实时掌握，并基于GIS实现对建设范围内所有的监测设备的一张图展示。</w:t>
      </w:r>
    </w:p>
    <w:p>
      <w:pPr>
        <w:spacing w:after="156"/>
      </w:pPr>
      <w:r>
        <w:rPr>
          <w:rFonts w:hint="eastAsia"/>
        </w:rPr>
        <w:t>（2）排水监测报警管理。</w:t>
      </w:r>
      <w:r>
        <w:rPr>
          <w:rFonts w:hint="eastAsia" w:ascii="仿宋" w:hAnsi="仿宋" w:cs="仿宋"/>
          <w:szCs w:val="32"/>
        </w:rPr>
        <w:t>对监测指标异常报警的统一管理，当监测指标超出单位设定的阈值时，系统自动报警，进入警情管理流程，并基于GIS实现各类报警的汇聚和综合展示。</w:t>
      </w:r>
    </w:p>
    <w:p>
      <w:pPr>
        <w:pStyle w:val="5"/>
        <w:spacing w:after="156"/>
      </w:pPr>
      <w:r>
        <w:rPr>
          <w:rFonts w:hint="eastAsia"/>
        </w:rPr>
        <w:t>综合管廊安全监测应用系统要求</w:t>
      </w:r>
    </w:p>
    <w:p>
      <w:pPr>
        <w:spacing w:after="156"/>
      </w:pPr>
      <w:r>
        <w:rPr>
          <w:rFonts w:hint="eastAsia"/>
        </w:rPr>
        <w:t>对供水管线、燃气管线、电缆火灾、廊内环境及附属设施等对象安全监测管理，主要实现综合管廊监测设备的统一管理和综合管廊运行状态的动态监测与报警管理。</w:t>
      </w:r>
    </w:p>
    <w:p>
      <w:pPr>
        <w:spacing w:after="156"/>
        <w:ind w:firstLine="602"/>
      </w:pPr>
      <w:r>
        <w:rPr>
          <w:rFonts w:hint="eastAsia"/>
          <w:b/>
          <w:bCs/>
        </w:rPr>
        <w:t>1、综合管廊监测设备管理。</w:t>
      </w:r>
      <w:r>
        <w:rPr>
          <w:rFonts w:hint="eastAsia" w:ascii="仿宋" w:hAnsi="仿宋" w:cs="仿宋"/>
          <w:szCs w:val="32"/>
        </w:rPr>
        <w:t>对综合管廊运行监测设备提供统一管理和维护，包括设备台账管理、设备阈值配置管理、监测点管理、设备异常管理等功能，并形成监测设备GIS一张图展示</w:t>
      </w:r>
      <w:r>
        <w:rPr>
          <w:rFonts w:hint="eastAsia"/>
        </w:rPr>
        <w:t>。</w:t>
      </w:r>
    </w:p>
    <w:p>
      <w:pPr>
        <w:spacing w:after="156"/>
        <w:ind w:firstLine="602"/>
      </w:pPr>
      <w:r>
        <w:rPr>
          <w:rFonts w:hint="eastAsia"/>
          <w:b/>
          <w:bCs/>
        </w:rPr>
        <w:t>2、动态监测与报警。</w:t>
      </w:r>
      <w:r>
        <w:rPr>
          <w:rFonts w:hint="eastAsia" w:ascii="仿宋" w:hAnsi="仿宋" w:cs="仿宋"/>
          <w:szCs w:val="32"/>
        </w:rPr>
        <w:t>系统在对监测数据接入、存储、阈值设置的基础上，通过将地理信息数据、监测数据整合在统一的信息平台中，便于信息的综合管理与共享。基于GIS技术、Web技术等，通过地图视图、趋势图等方式将地理信息数实时监测数据通过地图展现出来，并具有完整的监测点和信号点管理功能。建设内容包括综合管廊运行监测管理和综合管廊监测报警管理</w:t>
      </w:r>
      <w:r>
        <w:rPr>
          <w:rFonts w:hint="eastAsia"/>
        </w:rPr>
        <w:t>。</w:t>
      </w:r>
    </w:p>
    <w:p>
      <w:pPr>
        <w:spacing w:after="156"/>
        <w:rPr>
          <w:rFonts w:hint="eastAsia" w:ascii="仿宋" w:hAnsi="仿宋" w:cs="仿宋"/>
          <w:szCs w:val="32"/>
        </w:rPr>
      </w:pPr>
      <w:r>
        <w:rPr>
          <w:rFonts w:hint="eastAsia" w:ascii="仿宋" w:hAnsi="仿宋" w:cs="仿宋"/>
          <w:szCs w:val="32"/>
        </w:rPr>
        <w:t>（1）综合管廊运行监测管理。利用物联网技术，对综合管廊内的</w:t>
      </w:r>
      <w:r>
        <w:rPr>
          <w:rFonts w:hint="eastAsia"/>
        </w:rPr>
        <w:t>供水管线、燃气管线、电缆火灾、廊内环境及附属设施等对象</w:t>
      </w:r>
      <w:r>
        <w:rPr>
          <w:rFonts w:hint="eastAsia" w:ascii="仿宋" w:hAnsi="仿宋" w:cs="仿宋"/>
          <w:szCs w:val="32"/>
        </w:rPr>
        <w:t>进行综合动态监控，并利用GIS地图实现监测点位的一图展示。</w:t>
      </w:r>
    </w:p>
    <w:p>
      <w:pPr>
        <w:spacing w:after="156"/>
      </w:pPr>
      <w:r>
        <w:rPr>
          <w:rFonts w:hint="eastAsia" w:ascii="仿宋" w:hAnsi="仿宋" w:cs="仿宋"/>
          <w:szCs w:val="32"/>
        </w:rPr>
        <w:t>（2）综合管廊监测报警管理。通过对不同监测设备阈值机制设置，自动实现综合管廊分类分级的异常监测报警，实现报警管理、报警审核、阈值管理和监测报警一张图等功能。</w:t>
      </w:r>
    </w:p>
    <w:p>
      <w:pPr>
        <w:pStyle w:val="5"/>
        <w:spacing w:after="156"/>
      </w:pPr>
      <w:r>
        <w:rPr>
          <w:rFonts w:hint="eastAsia"/>
        </w:rPr>
        <w:t>供水管网安全监测应用系统要求</w:t>
      </w:r>
    </w:p>
    <w:p>
      <w:pPr>
        <w:spacing w:after="156"/>
      </w:pPr>
      <w:r>
        <w:rPr>
          <w:rFonts w:hint="eastAsia"/>
        </w:rPr>
        <w:t>系统围绕供水专项场景的安全运行监测管理，主要实现供水监测设备的统一管理和供水安全运行的动态监测与报警管理。</w:t>
      </w:r>
    </w:p>
    <w:p>
      <w:pPr>
        <w:spacing w:after="156"/>
        <w:ind w:firstLine="602"/>
      </w:pPr>
      <w:r>
        <w:rPr>
          <w:rFonts w:hint="eastAsia"/>
          <w:b/>
          <w:bCs/>
        </w:rPr>
        <w:t>1、供水监测设备管理。</w:t>
      </w:r>
      <w:r>
        <w:rPr>
          <w:rFonts w:hint="eastAsia" w:ascii="仿宋" w:hAnsi="仿宋" w:cs="仿宋"/>
          <w:szCs w:val="32"/>
        </w:rPr>
        <w:t>对供水管网运行监测设备提供统一管理和维护，包括设备台账管理、设备异常管理和设备维修记录管理等功能，并形成监测设备GIS一张图展示</w:t>
      </w:r>
      <w:r>
        <w:rPr>
          <w:rFonts w:hint="eastAsia"/>
        </w:rPr>
        <w:t>。</w:t>
      </w:r>
    </w:p>
    <w:p>
      <w:pPr>
        <w:spacing w:after="156"/>
        <w:ind w:firstLine="602"/>
        <w:rPr>
          <w:rFonts w:hint="eastAsia" w:ascii="仿宋" w:hAnsi="仿宋" w:cs="仿宋"/>
          <w:szCs w:val="32"/>
        </w:rPr>
      </w:pPr>
      <w:r>
        <w:rPr>
          <w:rFonts w:hint="eastAsia"/>
          <w:b/>
          <w:bCs/>
        </w:rPr>
        <w:t>2、动态监测与报警。</w:t>
      </w:r>
      <w:r>
        <w:rPr>
          <w:rFonts w:hint="eastAsia" w:ascii="仿宋" w:hAnsi="仿宋" w:cs="仿宋"/>
          <w:szCs w:val="32"/>
        </w:rPr>
        <w:t>系统在对监测数据接入、存储、阈值设置的基础上，通过将地理信息数据、监测数据整合在统一的信息平台中，便于信息的综合管理与共享。基于GIS技术、Web技术等，通过地图视图、趋势图等方式将地理信息数实时监测数据通过地图展现出来，并具有完整的监测点和信号点管理功能。建设内容包括供水运行监测管理和供水监测报警管理。</w:t>
      </w:r>
    </w:p>
    <w:p>
      <w:pPr>
        <w:spacing w:after="156"/>
        <w:rPr>
          <w:rFonts w:hint="eastAsia" w:ascii="仿宋" w:hAnsi="仿宋" w:cs="仿宋"/>
          <w:szCs w:val="32"/>
        </w:rPr>
      </w:pPr>
      <w:r>
        <w:rPr>
          <w:rFonts w:hint="eastAsia" w:ascii="仿宋" w:hAnsi="仿宋" w:cs="仿宋"/>
          <w:szCs w:val="32"/>
        </w:rPr>
        <w:t>（1）供水运行监测管理。利用物联网技术，对供水管网运行的流量、压力、泄漏声波、消火栓状态及供水水质进行综合动态监控，并利用GIS地图实现对供水流量、压力、泄漏声波、消火栓状态及水质监测点位一图展示。</w:t>
      </w:r>
    </w:p>
    <w:p>
      <w:pPr>
        <w:spacing w:after="156"/>
        <w:rPr>
          <w:rFonts w:hint="eastAsia" w:ascii="仿宋" w:hAnsi="仿宋" w:cs="仿宋"/>
          <w:szCs w:val="32"/>
        </w:rPr>
      </w:pPr>
      <w:r>
        <w:rPr>
          <w:rFonts w:hint="eastAsia" w:ascii="仿宋" w:hAnsi="仿宋" w:cs="仿宋"/>
          <w:szCs w:val="32"/>
        </w:rPr>
        <w:t>（2）供水监测报警管理。</w:t>
      </w:r>
      <w:bookmarkStart w:id="96" w:name="_Hlk182202928"/>
      <w:r>
        <w:rPr>
          <w:rFonts w:hint="eastAsia" w:ascii="仿宋" w:hAnsi="仿宋" w:cs="仿宋"/>
          <w:szCs w:val="32"/>
        </w:rPr>
        <w:t>通过对不同监测设备阈值机制设置，自动实现供水系统分类分级的异常监测报警，实现报警管理、报警审核、阈值管理和监测报警一张图等功能。</w:t>
      </w:r>
      <w:bookmarkEnd w:id="96"/>
    </w:p>
    <w:p>
      <w:pPr>
        <w:pStyle w:val="5"/>
        <w:spacing w:after="156"/>
      </w:pPr>
      <w:r>
        <w:rPr>
          <w:rFonts w:hint="eastAsia"/>
        </w:rPr>
        <w:t>桥梁安全监测应用系统要求</w:t>
      </w:r>
    </w:p>
    <w:p>
      <w:pPr>
        <w:spacing w:after="156"/>
      </w:pPr>
      <w:r>
        <w:rPr>
          <w:rFonts w:hint="eastAsia"/>
        </w:rPr>
        <w:t>系统围绕桥梁专项场景的安全运行监测管理，基于前端物联网监测数据实现桥梁实时安全状况进行科学监测管理，主要实现桥梁基础信息管理和桥梁运行状态的动态监测与报警管理。</w:t>
      </w:r>
    </w:p>
    <w:p>
      <w:pPr>
        <w:spacing w:after="156"/>
        <w:ind w:firstLine="602"/>
      </w:pPr>
      <w:r>
        <w:rPr>
          <w:rFonts w:hint="eastAsia"/>
          <w:b/>
          <w:bCs/>
        </w:rPr>
        <w:t>1、基础信息管理系统。</w:t>
      </w:r>
      <w:r>
        <w:rPr>
          <w:rFonts w:hint="eastAsia"/>
        </w:rPr>
        <w:t>主要实现桥梁基础信息管理和桥梁监测设备管理，实现桥梁设计、建设、养护资料电子化管理。</w:t>
      </w:r>
    </w:p>
    <w:p>
      <w:pPr>
        <w:spacing w:after="156"/>
        <w:ind w:firstLine="602"/>
      </w:pPr>
      <w:r>
        <w:rPr>
          <w:rFonts w:hint="eastAsia"/>
          <w:b/>
          <w:bCs/>
        </w:rPr>
        <w:t>2、动态监测与报警。</w:t>
      </w:r>
      <w:r>
        <w:rPr>
          <w:rFonts w:hint="eastAsia" w:ascii="仿宋" w:hAnsi="仿宋" w:cs="仿宋"/>
          <w:szCs w:val="32"/>
        </w:rPr>
        <w:t>通过接入前端设备监测数据，动态监测桥梁运行状态，出现异常时能够及时发出报警，提醒管理人员及时处置</w:t>
      </w:r>
      <w:r>
        <w:rPr>
          <w:rFonts w:hint="eastAsia"/>
        </w:rPr>
        <w:t>。建设内容包括桥梁运行监测管理和桥梁监测报警管理。</w:t>
      </w:r>
    </w:p>
    <w:p>
      <w:pPr>
        <w:spacing w:after="156"/>
      </w:pPr>
      <w:r>
        <w:rPr>
          <w:rFonts w:hint="eastAsia"/>
        </w:rPr>
        <w:t>（1）桥梁运行监测管理。</w:t>
      </w:r>
      <w:r>
        <w:rPr>
          <w:rFonts w:hint="eastAsia" w:ascii="仿宋" w:hAnsi="仿宋" w:cs="仿宋"/>
          <w:szCs w:val="32"/>
        </w:rPr>
        <w:t>结合二维平面+列表模式，实现桥梁监测数据及曲线、传感器故障率、传感器位置等信息的实时监测展示。</w:t>
      </w:r>
    </w:p>
    <w:p>
      <w:pPr>
        <w:spacing w:after="156"/>
      </w:pPr>
      <w:r>
        <w:rPr>
          <w:rFonts w:hint="eastAsia"/>
        </w:rPr>
        <w:t>（2）桥梁监测报警管理。</w:t>
      </w:r>
      <w:r>
        <w:rPr>
          <w:rFonts w:hint="eastAsia" w:ascii="仿宋" w:hAnsi="仿宋" w:cs="仿宋"/>
          <w:szCs w:val="32"/>
        </w:rPr>
        <w:t>实现桥梁结构静态监测数据超过设置阈值后的报警、报警数据查看、报警传感器定位。支持按照桥梁、监测项目、报警时间等条件统计报警次数。</w:t>
      </w:r>
    </w:p>
    <w:p>
      <w:pPr>
        <w:pStyle w:val="4"/>
        <w:spacing w:after="156"/>
      </w:pPr>
      <w:bookmarkStart w:id="97" w:name="_Toc184031848"/>
      <w:bookmarkStart w:id="98" w:name="_Toc182299761"/>
      <w:r>
        <w:rPr>
          <w:rFonts w:hint="eastAsia"/>
        </w:rPr>
        <w:t>省市平台互联互通要求</w:t>
      </w:r>
      <w:bookmarkEnd w:id="97"/>
      <w:bookmarkEnd w:id="98"/>
    </w:p>
    <w:p>
      <w:pPr>
        <w:spacing w:after="156"/>
      </w:pPr>
      <w:r>
        <w:rPr>
          <w:rFonts w:hint="eastAsia"/>
        </w:rPr>
        <w:t>省级监管平台与地市网络链路采用20Mbps以上的点对点专业或政务外网保证互联互通。省级监管平台与地市通过实时接口服务、文件交换服务和视频平台服务，满足数据上传以及地市视频播放等业务需求。各市州需做好相关视频监控汇聚工作，以视频平台方式提供流媒体查看服务，市级平台需支持《安全防范视频监控联网系统信息传输、交换、控制技术要求》（GB/T28181-2016）标准协议。</w:t>
      </w:r>
    </w:p>
    <w:bookmarkEnd w:id="90"/>
    <w:p>
      <w:pPr>
        <w:pStyle w:val="3"/>
        <w:spacing w:after="156"/>
      </w:pPr>
      <w:bookmarkStart w:id="99" w:name="_Toc184031849"/>
      <w:bookmarkStart w:id="100" w:name="_Toc182299762"/>
      <w:r>
        <w:rPr>
          <w:rFonts w:hint="eastAsia"/>
        </w:rPr>
        <w:t>工程数据库建设要求</w:t>
      </w:r>
      <w:bookmarkEnd w:id="99"/>
      <w:bookmarkEnd w:id="100"/>
    </w:p>
    <w:p>
      <w:pPr>
        <w:spacing w:after="156"/>
      </w:pPr>
      <w:bookmarkStart w:id="101" w:name="_Hlk163819084"/>
      <w:r>
        <w:rPr>
          <w:rFonts w:hint="eastAsia"/>
        </w:rPr>
        <w:t>通过汇集市县地下管网地理信息、地上桥梁等设施信息、物联感知监测数据等CIM基础数据，以及国土空间规划、人口经济信息等社会资源数据，建立覆盖地上地下的城市基础设施生命线安全工程数据库。主要包括：地下市政基础设施数据、地上市政基础设施数据、国土空间地理数据、市政基础设施模型数据、社会资源数据、物联感知数据。</w:t>
      </w:r>
    </w:p>
    <w:bookmarkEnd w:id="101"/>
    <w:p>
      <w:pPr>
        <w:pStyle w:val="4"/>
        <w:spacing w:after="156"/>
      </w:pPr>
      <w:bookmarkStart w:id="102" w:name="_Toc182299763"/>
      <w:bookmarkStart w:id="103" w:name="_Toc184031850"/>
      <w:r>
        <w:rPr>
          <w:rFonts w:hint="eastAsia"/>
        </w:rPr>
        <w:t>地下市政基础设施数据</w:t>
      </w:r>
      <w:bookmarkEnd w:id="102"/>
      <w:bookmarkEnd w:id="103"/>
    </w:p>
    <w:p>
      <w:pPr>
        <w:spacing w:after="156"/>
      </w:pPr>
      <w:r>
        <w:rPr>
          <w:rFonts w:hint="eastAsia"/>
        </w:rPr>
        <w:t>地下市政基础设施数据主要包括燃气管网、供水管网、排水管网和综合管廊等设施数据。</w:t>
      </w:r>
    </w:p>
    <w:p>
      <w:pPr>
        <w:spacing w:after="156"/>
      </w:pPr>
      <w:r>
        <w:rPr>
          <w:rFonts w:hint="eastAsia"/>
        </w:rPr>
        <w:t>燃气管网数据主要包括场站、管网、地下相邻空间以及日常巡检维修隐患数据。必选数据主要有燃气管线、管点数据，相邻管线、管点（包含电力、通信、供水、排水）数据、燃气管网监测感知终端设备数据；可选数据主要有维修台账数据、隐患信息数据、第三方施工信息数据、场站信息数据和入户信息数据。</w:t>
      </w:r>
    </w:p>
    <w:p>
      <w:pPr>
        <w:spacing w:after="156"/>
      </w:pPr>
      <w:r>
        <w:rPr>
          <w:rFonts w:hint="eastAsia"/>
        </w:rPr>
        <w:t>供水管网数据主要包括水源地、水厂、泵站（房）、管网、市政消火栓、巡检养护以及维修处置。必选数据主要有供水管线、供水管点、水源地、水厂信息、泵站（房）、市政消火栓、供水管网监测感知终端设备数据；可选数据主要有巡检养护、维修处置数据。</w:t>
      </w:r>
    </w:p>
    <w:p>
      <w:pPr>
        <w:spacing w:after="156"/>
      </w:pPr>
      <w:r>
        <w:rPr>
          <w:rFonts w:hint="eastAsia"/>
        </w:rPr>
        <w:t>排水必选数据主要有雨水排水管线、雨水排水管点、雨水泵站信息、易涝点信息、雨量站信息、排水管网监测感知终端设备数据；可选数据主要有堤防信息、雨水管网维修记录信息、雨水排水监测信息、雨水排水缺陷记录。</w:t>
      </w:r>
    </w:p>
    <w:p>
      <w:pPr>
        <w:spacing w:after="156"/>
      </w:pPr>
      <w:r>
        <w:rPr>
          <w:rFonts w:hint="eastAsia"/>
        </w:rPr>
        <w:t>污水管网数据主要包括污水泵站、污水厂、管网、维修处置以及隐患监测。必选数据主要有污水排水管线、污水排水管点、污水泵站信息、雨量站信息（针对合流制管网）、污水厂信息、污水管网监测感知终端设备数据；可选数据主要有污水管网维修处置信息、污水排水监测信息、污水排水缺陷记录。</w:t>
      </w:r>
    </w:p>
    <w:p>
      <w:pPr>
        <w:spacing w:after="156"/>
      </w:pPr>
      <w:r>
        <w:rPr>
          <w:rFonts w:hint="eastAsia"/>
        </w:rPr>
        <w:t>综合管廊数据主要包括管廊本体数据（区域管廊、舱室、口部、支墩支架、控制中心等数据）、入廊管线数据（管线段信息、管线点信息）、附属设施数据（通风系统、供电系统、照明系统、监控与报警系统、排水系统、标识系统）、综合管廊监测感知终端设备数据及其他数据（危险源防护目标、意外灾害）。</w:t>
      </w:r>
    </w:p>
    <w:p>
      <w:pPr>
        <w:pStyle w:val="4"/>
        <w:spacing w:after="156"/>
      </w:pPr>
      <w:bookmarkStart w:id="104" w:name="_Toc182299764"/>
      <w:bookmarkStart w:id="105" w:name="_Toc184031851"/>
      <w:r>
        <w:rPr>
          <w:rFonts w:hint="eastAsia"/>
        </w:rPr>
        <w:t>地上市政基础设施数据</w:t>
      </w:r>
      <w:bookmarkEnd w:id="104"/>
      <w:bookmarkEnd w:id="105"/>
    </w:p>
    <w:p>
      <w:pPr>
        <w:spacing w:after="156"/>
      </w:pPr>
      <w:r>
        <w:rPr>
          <w:rFonts w:hint="eastAsia"/>
        </w:rPr>
        <w:t>地上市政基础设施以桥梁类为主。桥梁基本数据主要包括桥梁基本信息、联信息、跨信息、墩信息、检查记录信息、桥梁竣工图纸和计算书、BCI信息、检查病害数据、维修养护信息以及交通量调查信息。</w:t>
      </w:r>
    </w:p>
    <w:p>
      <w:pPr>
        <w:pStyle w:val="4"/>
        <w:spacing w:after="156"/>
      </w:pPr>
      <w:bookmarkStart w:id="106" w:name="_Toc182299765"/>
      <w:bookmarkStart w:id="107" w:name="_Toc184031852"/>
      <w:r>
        <w:rPr>
          <w:rFonts w:hint="eastAsia"/>
        </w:rPr>
        <w:t>国土空间地理数据</w:t>
      </w:r>
      <w:bookmarkEnd w:id="106"/>
      <w:bookmarkEnd w:id="107"/>
    </w:p>
    <w:p>
      <w:pPr>
        <w:spacing w:after="156"/>
      </w:pPr>
      <w:r>
        <w:rPr>
          <w:rFonts w:hint="eastAsia"/>
        </w:rPr>
        <w:t>国土空间地理数据主要包括：数字正射影像图（DOM）数据、数字高程模型（DEM）数据和数字线划地图（DLG）数据。数字正射影像图（DOM）数据分辨率为1m-5m；数字高程模型（DEM）数据分辨率为1m-5m；数字线划图（DLG）数据，比例尺为1:500-1:10000，主要包括社会单元信息数据，道路信息数据，河流、湖泊、水库数据，地形地貌、植被数据，轨道交通数据，土地利用信息以及兴趣点数据。</w:t>
      </w:r>
    </w:p>
    <w:p>
      <w:pPr>
        <w:spacing w:after="156"/>
      </w:pPr>
      <w:r>
        <w:rPr>
          <w:rFonts w:hint="eastAsia"/>
        </w:rPr>
        <w:t>上数据均应采用2000国家大地坐标系（CGCS2000）、1985国家高程基准，空间地理信息数据现势性不超过3年，相关数据须在满足安全保密要求的前提下获取和使用。</w:t>
      </w:r>
    </w:p>
    <w:p>
      <w:pPr>
        <w:pStyle w:val="4"/>
        <w:spacing w:after="156"/>
      </w:pPr>
      <w:bookmarkStart w:id="108" w:name="_Toc184031853"/>
      <w:bookmarkStart w:id="109" w:name="_Toc182299766"/>
      <w:r>
        <w:rPr>
          <w:rFonts w:hint="eastAsia"/>
        </w:rPr>
        <w:t>市政基础设施模型数据</w:t>
      </w:r>
      <w:bookmarkEnd w:id="108"/>
      <w:bookmarkEnd w:id="109"/>
    </w:p>
    <w:p>
      <w:pPr>
        <w:spacing w:after="156"/>
      </w:pPr>
      <w:r>
        <w:rPr>
          <w:rFonts w:hint="eastAsia"/>
        </w:rPr>
        <w:t>市政基础设施模型数据主要分为BIM模型和三维模型两大类。</w:t>
      </w:r>
    </w:p>
    <w:p>
      <w:pPr>
        <w:spacing w:after="156"/>
      </w:pPr>
      <w:r>
        <w:rPr>
          <w:rFonts w:hint="eastAsia"/>
        </w:rPr>
        <w:t>BIM模型主要为燃气、供水、排水、桥梁、综合管廊等5类模型数据。</w:t>
      </w:r>
    </w:p>
    <w:p>
      <w:pPr>
        <w:spacing w:after="156"/>
      </w:pPr>
      <w:r>
        <w:rPr>
          <w:rFonts w:hint="eastAsia"/>
        </w:rPr>
        <w:t>三维模型类主要分为人工三维建模数据和倾斜摄影三维建模数据。其中人工三维建模数据分为3大类，包括地上危险源及重点防护目标建筑物三维模型、普通建筑物三维模型、其它要素类三维模型。</w:t>
      </w:r>
    </w:p>
    <w:p>
      <w:pPr>
        <w:pStyle w:val="4"/>
        <w:spacing w:after="156"/>
      </w:pPr>
      <w:bookmarkStart w:id="110" w:name="_Toc182299767"/>
      <w:bookmarkStart w:id="111" w:name="_Toc184031854"/>
      <w:r>
        <w:rPr>
          <w:rFonts w:hint="eastAsia"/>
        </w:rPr>
        <w:t>社会资源数据</w:t>
      </w:r>
      <w:bookmarkEnd w:id="110"/>
      <w:bookmarkEnd w:id="111"/>
    </w:p>
    <w:p>
      <w:pPr>
        <w:spacing w:after="156"/>
      </w:pPr>
      <w:r>
        <w:rPr>
          <w:rFonts w:hint="eastAsia"/>
        </w:rPr>
        <w:t>社会资源数据来源主要为政务服务数据和社会公共数据，主要分为重点防护目标、重大危险源、人口经济和应急资源信息数据。</w:t>
      </w:r>
    </w:p>
    <w:p>
      <w:pPr>
        <w:spacing w:after="156"/>
      </w:pPr>
      <w:r>
        <w:rPr>
          <w:rFonts w:hint="eastAsia"/>
        </w:rPr>
        <w:t>重点防护目标主要包括政府机关、学校、医院、车站等物理场所。重大危险源主要包括加油站、加气站、放射源、锅炉站、饭店、危险化学品工厂等物理场所。</w:t>
      </w:r>
    </w:p>
    <w:p>
      <w:pPr>
        <w:spacing w:after="156"/>
      </w:pPr>
      <w:r>
        <w:rPr>
          <w:rFonts w:hint="eastAsia"/>
        </w:rPr>
        <w:t>应急资源信息数据主要包括应急救援队伍、应急物资储备库、应急物资、应急专家、应急避难场所、预案、知识库等数据。</w:t>
      </w:r>
    </w:p>
    <w:p>
      <w:pPr>
        <w:pStyle w:val="4"/>
        <w:spacing w:after="156"/>
      </w:pPr>
      <w:bookmarkStart w:id="112" w:name="_Toc184031855"/>
      <w:bookmarkStart w:id="113" w:name="_Toc182299768"/>
      <w:r>
        <w:rPr>
          <w:rFonts w:hint="eastAsia"/>
        </w:rPr>
        <w:t>专项模型分析数据</w:t>
      </w:r>
      <w:bookmarkEnd w:id="112"/>
      <w:bookmarkEnd w:id="113"/>
    </w:p>
    <w:p>
      <w:pPr>
        <w:spacing w:after="156"/>
      </w:pPr>
      <w:r>
        <w:rPr>
          <w:rFonts w:hint="eastAsia"/>
        </w:rPr>
        <w:t>结合平台的分析模型需求建设相关专项模型分析数据库，如燃气分析模型、排水分析模型等数据。</w:t>
      </w:r>
    </w:p>
    <w:p>
      <w:pPr>
        <w:pStyle w:val="3"/>
        <w:spacing w:after="156"/>
      </w:pPr>
      <w:bookmarkStart w:id="114" w:name="_Toc184031856"/>
      <w:bookmarkStart w:id="115" w:name="_Toc182299769"/>
      <w:r>
        <w:rPr>
          <w:rFonts w:hint="eastAsia"/>
        </w:rPr>
        <w:t>基础支撑系统建设要求</w:t>
      </w:r>
      <w:bookmarkEnd w:id="114"/>
      <w:bookmarkEnd w:id="115"/>
    </w:p>
    <w:p>
      <w:pPr>
        <w:spacing w:after="156"/>
      </w:pPr>
      <w:r>
        <w:rPr>
          <w:rFonts w:hint="eastAsia"/>
        </w:rPr>
        <w:t>基础支撑系统建设要求包括城市基础信息系统、网络传输系统、数据接口服务、服务器与存储、安全保障体系等，满足系统业务及非功能性要求。</w:t>
      </w:r>
    </w:p>
    <w:p>
      <w:pPr>
        <w:pStyle w:val="4"/>
        <w:spacing w:after="156"/>
      </w:pPr>
      <w:bookmarkStart w:id="116" w:name="_Toc184031857"/>
      <w:bookmarkStart w:id="117" w:name="_Toc182299770"/>
      <w:r>
        <w:rPr>
          <w:rFonts w:hint="eastAsia"/>
        </w:rPr>
        <w:t>城市基础信息系统</w:t>
      </w:r>
      <w:bookmarkEnd w:id="116"/>
      <w:bookmarkEnd w:id="117"/>
    </w:p>
    <w:p>
      <w:pPr>
        <w:spacing w:after="156"/>
      </w:pPr>
      <w:r>
        <w:rPr>
          <w:rFonts w:hint="eastAsia"/>
        </w:rPr>
        <w:t>城市基础信息系统包括大数据服务、物联网服务、公共安全模型、GIS服务等内容，是城市生命线安全运行监测平台的重要支撑系统。系统建设应具备数据汇聚与管理、数据查询与可视化、数据分析、数据服务等能力。</w:t>
      </w:r>
    </w:p>
    <w:p>
      <w:pPr>
        <w:pStyle w:val="4"/>
        <w:spacing w:after="156"/>
      </w:pPr>
      <w:bookmarkStart w:id="118" w:name="_Toc182299771"/>
      <w:bookmarkStart w:id="119" w:name="_Toc184031858"/>
      <w:r>
        <w:rPr>
          <w:rFonts w:hint="eastAsia"/>
        </w:rPr>
        <w:t>网络传输系统要求</w:t>
      </w:r>
      <w:bookmarkEnd w:id="118"/>
      <w:bookmarkEnd w:id="119"/>
    </w:p>
    <w:p>
      <w:pPr>
        <w:pStyle w:val="5"/>
        <w:spacing w:after="156"/>
      </w:pPr>
      <w:r>
        <w:rPr>
          <w:rFonts w:hint="eastAsia"/>
        </w:rPr>
        <w:t>感知传输网络要求</w:t>
      </w:r>
    </w:p>
    <w:p>
      <w:pPr>
        <w:spacing w:after="156"/>
      </w:pPr>
      <w:r>
        <w:rPr>
          <w:rFonts w:hint="eastAsia"/>
        </w:rPr>
        <w:t>根据感知设备的点位数量、采集频率、数据量，合理选用互联网宽带、GPRS无线传输网络、NB-IOT窄带物联网通信技术等传输网络。</w:t>
      </w:r>
    </w:p>
    <w:p>
      <w:pPr>
        <w:pStyle w:val="5"/>
        <w:spacing w:after="156"/>
      </w:pPr>
      <w:r>
        <w:rPr>
          <w:rFonts w:hint="eastAsia"/>
        </w:rPr>
        <w:t>信息交换共享传输网络要求</w:t>
      </w:r>
    </w:p>
    <w:p>
      <w:pPr>
        <w:spacing w:after="156"/>
      </w:pPr>
      <w:r>
        <w:rPr>
          <w:rFonts w:hint="eastAsia"/>
        </w:rPr>
        <w:t>主要实现城市生命线工程安全运行监测中心（以下简称“监测中心”）与各权属单位及行业监管部门之间的信息交互及共享。监测中心与各权属单位及行业监管部门之间采用20Mbps以上的传输带宽，宜采用MSTP专线方式。监测中心与交通视频和公安天网之间的视频信号共享传输网络，采用100Mbps传输带宽，宜采用MSTP专线方式。</w:t>
      </w:r>
    </w:p>
    <w:p>
      <w:pPr>
        <w:pStyle w:val="4"/>
        <w:spacing w:after="156"/>
      </w:pPr>
      <w:bookmarkStart w:id="120" w:name="_Toc182299772"/>
      <w:bookmarkStart w:id="121" w:name="_Toc184031859"/>
      <w:r>
        <w:rPr>
          <w:rFonts w:hint="eastAsia"/>
        </w:rPr>
        <w:t>数据接口服务要求</w:t>
      </w:r>
      <w:bookmarkEnd w:id="120"/>
      <w:bookmarkEnd w:id="121"/>
    </w:p>
    <w:p>
      <w:pPr>
        <w:pStyle w:val="5"/>
        <w:spacing w:after="156"/>
      </w:pPr>
      <w:r>
        <w:rPr>
          <w:rFonts w:hint="eastAsia"/>
        </w:rPr>
        <w:t>数据接口要求</w:t>
      </w:r>
    </w:p>
    <w:p>
      <w:pPr>
        <w:spacing w:after="156"/>
      </w:pPr>
      <w:r>
        <w:rPr>
          <w:rFonts w:hint="eastAsia"/>
        </w:rPr>
        <w:t>数据接口需要提供数据共享接口、WEB应用接口、APP接口、小程序接口等类型接口，以满足实时数据接收、系统集成需求。地理信息及BIM类数据宜采用离线或类似FTP服务方式定期全量数据同步方式共享传输。</w:t>
      </w:r>
    </w:p>
    <w:p>
      <w:pPr>
        <w:pStyle w:val="5"/>
        <w:spacing w:after="156"/>
      </w:pPr>
      <w:r>
        <w:rPr>
          <w:rFonts w:hint="eastAsia"/>
        </w:rPr>
        <w:t>外部数据接口设计要求</w:t>
      </w:r>
    </w:p>
    <w:p>
      <w:pPr>
        <w:spacing w:after="156"/>
      </w:pPr>
      <w:r>
        <w:rPr>
          <w:rFonts w:hint="eastAsia"/>
        </w:rPr>
        <w:t>系统充分考虑各部门数据和信息化情况，结合业务情况进行设计。外部接口包含数据接入接口、应用访问的WEB应用接口、APP接口以及城市基础设施生命线安全工程运行监测预警系统与各权属部门、相关企业单位的通讯指挥接口、城市基础设施生命线安全工程运行监测预警系统与政务云中心端的数据备份接口。</w:t>
      </w:r>
    </w:p>
    <w:p>
      <w:pPr>
        <w:pStyle w:val="4"/>
        <w:spacing w:after="156"/>
      </w:pPr>
      <w:bookmarkStart w:id="122" w:name="_Toc184031860"/>
      <w:bookmarkStart w:id="123" w:name="_Toc182299773"/>
      <w:r>
        <w:rPr>
          <w:rFonts w:hint="eastAsia"/>
        </w:rPr>
        <w:t>服务器与存储要求</w:t>
      </w:r>
      <w:bookmarkEnd w:id="122"/>
      <w:bookmarkEnd w:id="123"/>
    </w:p>
    <w:p>
      <w:pPr>
        <w:pStyle w:val="5"/>
        <w:spacing w:after="156"/>
      </w:pPr>
      <w:r>
        <w:rPr>
          <w:rFonts w:hint="eastAsia"/>
        </w:rPr>
        <w:t>基本要求</w:t>
      </w:r>
    </w:p>
    <w:p>
      <w:pPr>
        <w:spacing w:after="156"/>
      </w:pPr>
      <w:r>
        <w:rPr>
          <w:rFonts w:hint="eastAsia"/>
        </w:rPr>
        <w:t>服务器与存储系统应满足系统运行与数据存储备份需要。在设计上应充分考虑系统的性能、可靠性、可扩展性、开放性、可管理性以及数据的安全等，满足业务未来发展的需要。项目主机存储系统主要建设在数据中心机房局域网内，主机存储系统需要有高可靠性、高安全性、高性能、高扩展和兼容性、以及集中管理。</w:t>
      </w:r>
    </w:p>
    <w:p>
      <w:pPr>
        <w:spacing w:after="156"/>
      </w:pPr>
      <w:r>
        <w:rPr>
          <w:rFonts w:hint="eastAsia"/>
        </w:rPr>
        <w:t>系统应能够保持24小时不间断运行，并提供系统冗余和备份机制，保障数据和应用的高可用，可靠性达到99.9%。</w:t>
      </w:r>
    </w:p>
    <w:p>
      <w:pPr>
        <w:pStyle w:val="5"/>
        <w:spacing w:after="156"/>
      </w:pPr>
      <w:r>
        <w:rPr>
          <w:rFonts w:hint="eastAsia"/>
        </w:rPr>
        <w:t>存储系统需求</w:t>
      </w:r>
    </w:p>
    <w:p>
      <w:pPr>
        <w:spacing w:after="156"/>
      </w:pPr>
      <w:r>
        <w:rPr>
          <w:rFonts w:hint="eastAsia"/>
        </w:rPr>
        <w:t>存储系统应具有数据存储形态多样性，支持多平台、多主机的工作环境。数据备份系统应能对各种平台的应用系统及其它信息数据进行集中、自动备份，应具备有效化的介质管理，多种介质存储共存的能力，还要考虑网络带宽对其性能的影响以及系统的安全性、可扩展性等因素。</w:t>
      </w:r>
    </w:p>
    <w:p>
      <w:pPr>
        <w:pStyle w:val="5"/>
        <w:spacing w:after="156"/>
      </w:pPr>
      <w:r>
        <w:rPr>
          <w:rFonts w:hint="eastAsia"/>
        </w:rPr>
        <w:t>系统性能要求</w:t>
      </w:r>
    </w:p>
    <w:p>
      <w:pPr>
        <w:spacing w:after="156"/>
      </w:pPr>
      <w:r>
        <w:rPr>
          <w:rFonts w:hint="eastAsia"/>
        </w:rPr>
        <w:t>系统性能需确保7×24小时连续稳定运行，最大并发用户数应不低于全部使用用户数的30%。应用网页平均响应时间应不大于3秒，峰值不大于10秒。简单事务查询的平均响应时间应不大于3秒，复杂事务查询的平均响应时间应不大于15秒。系统应具备有异构系统和数据平台的信息交换能力。</w:t>
      </w:r>
    </w:p>
    <w:p>
      <w:pPr>
        <w:pStyle w:val="4"/>
        <w:spacing w:after="156"/>
      </w:pPr>
      <w:bookmarkStart w:id="124" w:name="_Toc182299774"/>
      <w:bookmarkStart w:id="125" w:name="_Toc184031861"/>
      <w:r>
        <w:rPr>
          <w:rFonts w:hint="eastAsia"/>
        </w:rPr>
        <w:t>安全保障体系</w:t>
      </w:r>
      <w:bookmarkEnd w:id="124"/>
      <w:bookmarkEnd w:id="125"/>
    </w:p>
    <w:p>
      <w:pPr>
        <w:spacing w:after="156"/>
      </w:pPr>
      <w:r>
        <w:rPr>
          <w:rFonts w:hint="eastAsia"/>
        </w:rPr>
        <w:t>按照《信息安全技术网络安全等级保护基本要求》（GB/T22239）等相关标准要求，建立健全统一的信息安全技术支撑层、安全管理支撑层和安全服务支撑层，形成有效的安全防护能力、安全监管能力和安全运维能力，为系统平台运行提供安全的网络运行环境和应用安全支撑，确保信息传输、交换和存储处理等信息安全。</w:t>
      </w:r>
    </w:p>
    <w:p>
      <w:pPr>
        <w:pStyle w:val="2"/>
        <w:spacing w:after="156"/>
      </w:pPr>
      <w:bookmarkStart w:id="126" w:name="_Toc182299775"/>
      <w:bookmarkStart w:id="127" w:name="_Toc184031862"/>
      <w:r>
        <w:rPr>
          <w:rFonts w:hint="eastAsia"/>
        </w:rPr>
        <w:t>创新管理机制要求</w:t>
      </w:r>
      <w:bookmarkEnd w:id="126"/>
      <w:bookmarkEnd w:id="127"/>
    </w:p>
    <w:p>
      <w:pPr>
        <w:spacing w:after="156"/>
      </w:pPr>
    </w:p>
    <w:p>
      <w:pPr>
        <w:spacing w:after="156"/>
      </w:pPr>
      <w:r>
        <w:t>各</w:t>
      </w:r>
      <w:r>
        <w:rPr>
          <w:rFonts w:hint="eastAsia"/>
        </w:rPr>
        <w:t>市州</w:t>
      </w:r>
      <w:r>
        <w:t>要运用地下综合管廊的管理理念，对地下管线进行统一管理，强化各行业管线单位之间的协作。创新城市地下管线工程运营收费模式，参照</w:t>
      </w:r>
      <w:r>
        <w:rPr>
          <w:rFonts w:hint="eastAsia"/>
          <w:lang w:eastAsia="zh-CN"/>
        </w:rPr>
        <w:t>国家发展改革委</w:t>
      </w:r>
      <w:r>
        <w:t>、住</w:t>
      </w:r>
      <w:r>
        <w:rPr>
          <w:rFonts w:hint="eastAsia"/>
          <w:lang w:val="en-US" w:eastAsia="zh-CN"/>
        </w:rPr>
        <w:t>房城乡建设</w:t>
      </w:r>
      <w:r>
        <w:t>部《关于做好城市地下综合管廊收费有关工作的通知》，研究建立综合管沟收费制度，明确综合管沟运维成本分担机制，引导金融和社会资本参与。各</w:t>
      </w:r>
      <w:r>
        <w:rPr>
          <w:rFonts w:hint="eastAsia"/>
        </w:rPr>
        <w:t>市州</w:t>
      </w:r>
      <w:r>
        <w:t>要研究制定城市地下综合管线管理办法，原则上新建和改扩建的城市道路交付使用5年内、大修的城市道路竣工后3年内不得挖掘</w:t>
      </w:r>
      <w:r>
        <w:rPr>
          <w:rFonts w:hint="eastAsia"/>
        </w:rPr>
        <w:t>。</w:t>
      </w:r>
    </w:p>
    <w:p>
      <w:pPr>
        <w:spacing w:after="156"/>
      </w:pPr>
      <w:r>
        <w:rPr>
          <w:rFonts w:hint="eastAsia"/>
        </w:rPr>
        <w:t>可参照地下综合管廊建设管理模式，培育成立地下管线设施综合管理公司，对城市地下管线进行统一管理，将各类管线设施的综合运行效能与企业的营收挂钩，研究建立综合管沟收费制度，明确综合管沟运维成本分担机制，引导金融和社会资本参与，通过市场的手段，引导企业科学规划、建设、管理各类地下管线。可参照</w:t>
      </w:r>
      <w:r>
        <w:rPr>
          <w:rFonts w:hint="eastAsia"/>
          <w:lang w:eastAsia="zh-CN"/>
        </w:rPr>
        <w:t>国家发展改革委</w:t>
      </w:r>
      <w:r>
        <w:t>、住</w:t>
      </w:r>
      <w:r>
        <w:rPr>
          <w:rFonts w:hint="eastAsia"/>
          <w:lang w:val="en-US" w:eastAsia="zh-CN"/>
        </w:rPr>
        <w:t>房城乡建设</w:t>
      </w:r>
      <w:r>
        <w:t>部</w:t>
      </w:r>
      <w:r>
        <w:rPr>
          <w:rFonts w:hint="eastAsia"/>
        </w:rPr>
        <w:t>《关于做好城市地下综合管廊收费有关工作的通知》，研究建立综合管沟收费制度，明确综合管沟运维成本分担机制，引导金融和社会资本参与。各市州可结合实际情况，按照使用者付费原则，完善收费标准动态调整机制，在有条件的地区可积极探索将污水管网建设、运行、维护费用纳入污水处理成本。</w:t>
      </w:r>
    </w:p>
    <w:p>
      <w:pPr>
        <w:spacing w:after="156"/>
      </w:pPr>
    </w:p>
    <w:p>
      <w:pPr>
        <w:pStyle w:val="2"/>
        <w:spacing w:after="156"/>
      </w:pPr>
      <w:bookmarkStart w:id="128" w:name="_Toc182299776"/>
      <w:bookmarkStart w:id="129" w:name="_Toc184031863"/>
      <w:r>
        <w:rPr>
          <w:rFonts w:hint="eastAsia"/>
        </w:rPr>
        <w:t>建立健全应急处置机制要求</w:t>
      </w:r>
      <w:bookmarkEnd w:id="38"/>
      <w:bookmarkEnd w:id="128"/>
      <w:bookmarkEnd w:id="129"/>
    </w:p>
    <w:p>
      <w:pPr>
        <w:spacing w:after="156"/>
      </w:pPr>
    </w:p>
    <w:p>
      <w:pPr>
        <w:spacing w:after="156"/>
      </w:pPr>
      <w:r>
        <w:t>各</w:t>
      </w:r>
      <w:r>
        <w:rPr>
          <w:rFonts w:hint="eastAsia"/>
        </w:rPr>
        <w:t>市州</w:t>
      </w:r>
      <w:r>
        <w:t>要落实政府、行业监管部门和企业三方责任，完善城市基础设施生命线安全工程风险隐患应急处置流程，建立多部门联动的风险协调处置体系，建立健全行业主管部门、运营企业之间信息互通、协调联动、快速响应、协同处置的工作机制。实现从监测、分析、预警、派单到处置的闭环管理。强化监测成果运用，发现城市基础设施体系建设的问题和短板，统筹城市基础设施规划布局、建设、运行维护和更新改造，从源头防范化解各类风险隐患。</w:t>
      </w:r>
      <w:r>
        <w:rPr>
          <w:rFonts w:hint="eastAsia"/>
        </w:rPr>
        <w:t>建议通过监测中心建设，具体落实本地应急处置机制建设，监测中心的建设与运行参照标准如下。</w:t>
      </w:r>
    </w:p>
    <w:p>
      <w:pPr>
        <w:pStyle w:val="3"/>
        <w:spacing w:after="156"/>
      </w:pPr>
      <w:bookmarkStart w:id="130" w:name="_Toc184031864"/>
      <w:bookmarkStart w:id="131" w:name="_Toc182299777"/>
      <w:r>
        <w:rPr>
          <w:rFonts w:hint="eastAsia"/>
        </w:rPr>
        <w:t>功能分区</w:t>
      </w:r>
      <w:bookmarkEnd w:id="130"/>
      <w:bookmarkEnd w:id="131"/>
    </w:p>
    <w:p>
      <w:pPr>
        <w:spacing w:after="156"/>
      </w:pPr>
      <w:r>
        <w:rPr>
          <w:rFonts w:hint="eastAsia"/>
        </w:rPr>
        <w:t>监测中心作为开展风险感知、监测报警、研判预警和联动处置的中枢，其物理场所包括综合展示区、值班区（操作区）、监测区、会商研判区、应急决策区、运行保障区等功能区。</w:t>
      </w:r>
    </w:p>
    <w:p>
      <w:pPr>
        <w:spacing w:after="156"/>
      </w:pPr>
      <w:r>
        <w:rPr>
          <w:rFonts w:hint="eastAsia"/>
        </w:rPr>
        <w:t>综合展示区主要承担监测中心数据展示和跟踪处置等功能。值班区（操作区）承担监测中心的设备控制和各应用系统调用等功能。监测区承担运行监测和报警处置功能。会商研判区承担各类突发风险事件的专家研讨分析功能。应急决策区承担主要领导对各类突发事件的决策、指挥等功。运行保障区包括机房、设备运行监控和库房等场所。</w:t>
      </w:r>
    </w:p>
    <w:p>
      <w:pPr>
        <w:pStyle w:val="3"/>
        <w:spacing w:after="156"/>
      </w:pPr>
      <w:bookmarkStart w:id="132" w:name="_Toc184031865"/>
      <w:bookmarkStart w:id="133" w:name="_Toc182299778"/>
      <w:r>
        <w:rPr>
          <w:rFonts w:hint="eastAsia"/>
        </w:rPr>
        <w:t>岗位设置</w:t>
      </w:r>
      <w:bookmarkEnd w:id="132"/>
      <w:bookmarkEnd w:id="133"/>
    </w:p>
    <w:p>
      <w:pPr>
        <w:spacing w:after="156"/>
      </w:pPr>
      <w:r>
        <w:rPr>
          <w:rFonts w:hint="eastAsia"/>
        </w:rPr>
        <w:t>监测中心设中心主任岗1人，负责综合统筹管理和决策协调工作。中心设副主任岗2-3人，负责中心综合运营和监测值守、数据分析研判、系统运维保障等管理工作。中心下设综合运营岗、监测值守岗、数据分析岗、系统运维岗。</w:t>
      </w:r>
    </w:p>
    <w:p>
      <w:pPr>
        <w:spacing w:after="156"/>
      </w:pPr>
      <w:r>
        <w:rPr>
          <w:rFonts w:hint="eastAsia"/>
        </w:rPr>
        <w:t>综合运营岗负责中心运行标准规范制度制定、行政及人力资源管理、访问接待管理、业务培训咨询管理等工作。</w:t>
      </w:r>
    </w:p>
    <w:p>
      <w:pPr>
        <w:spacing w:after="156"/>
      </w:pPr>
      <w:r>
        <w:rPr>
          <w:rFonts w:hint="eastAsia"/>
        </w:rPr>
        <w:t>监测值守岗负责带班值班、接报发报、数据统计、警情跟踪、处置工单派发等工作。实行7×24小时工作制度，采用三班倒模式，每班工作8小时。</w:t>
      </w:r>
    </w:p>
    <w:p>
      <w:pPr>
        <w:spacing w:after="156"/>
      </w:pPr>
      <w:r>
        <w:rPr>
          <w:rFonts w:hint="eastAsia"/>
        </w:rPr>
        <w:t>数据分析岗负责系统报警信息分析研判，及时排除误报，根据可能导致安全事件类型、风险态势发展程度、事故影响程度等因素进行风险预警分级和预警发布，对现场处置提供辅助决策等技术支持。负责综合运行态势评估分析，定期向政府部门、权属责任单位提供分析月报、季报、年报。</w:t>
      </w:r>
    </w:p>
    <w:p>
      <w:pPr>
        <w:spacing w:after="156"/>
      </w:pPr>
      <w:r>
        <w:rPr>
          <w:rFonts w:hint="eastAsia"/>
        </w:rPr>
        <w:t>系统运维岗按照工作类别包括感知设备运维岗和系统平台运维岗，负责前端监测设备的维护维修和更换、日常巡检养护、数据更新维护管理、系统网络管理、系统安全管理、系统应用管理、存储备份管理、技术支持等工作。</w:t>
      </w:r>
    </w:p>
    <w:p>
      <w:pPr>
        <w:pStyle w:val="3"/>
        <w:spacing w:after="156"/>
      </w:pPr>
      <w:bookmarkStart w:id="134" w:name="_Toc184031866"/>
      <w:bookmarkStart w:id="135" w:name="_Toc182299779"/>
      <w:r>
        <w:rPr>
          <w:rFonts w:hint="eastAsia"/>
        </w:rPr>
        <w:t>监测值守</w:t>
      </w:r>
      <w:bookmarkEnd w:id="134"/>
      <w:bookmarkEnd w:id="135"/>
    </w:p>
    <w:p>
      <w:pPr>
        <w:spacing w:after="156"/>
      </w:pPr>
      <w:r>
        <w:rPr>
          <w:rFonts w:hint="eastAsia"/>
        </w:rPr>
        <w:t>监测值守包括监测报警信息上报推送、系统运维工单派发、数据跟踪闭环管理和统计分析。各监测领域每班次至少配置1名值守人员，可按照项目监测体量适当增加值守人员配置，人员要求安全相关专业专科及以上学历。</w:t>
      </w:r>
    </w:p>
    <w:p>
      <w:pPr>
        <w:pStyle w:val="3"/>
        <w:spacing w:after="156"/>
      </w:pPr>
      <w:bookmarkStart w:id="136" w:name="_Toc182299780"/>
      <w:bookmarkStart w:id="137" w:name="_Toc184031867"/>
      <w:r>
        <w:rPr>
          <w:rFonts w:hint="eastAsia"/>
        </w:rPr>
        <w:t>警情研判</w:t>
      </w:r>
      <w:bookmarkEnd w:id="136"/>
      <w:bookmarkEnd w:id="137"/>
    </w:p>
    <w:p>
      <w:pPr>
        <w:pStyle w:val="4"/>
        <w:spacing w:after="156"/>
      </w:pPr>
      <w:bookmarkStart w:id="138" w:name="_Toc184031868"/>
      <w:bookmarkStart w:id="139" w:name="_Toc182299781"/>
      <w:r>
        <w:rPr>
          <w:rFonts w:hint="eastAsia"/>
        </w:rPr>
        <w:t>报警分析</w:t>
      </w:r>
      <w:bookmarkEnd w:id="138"/>
      <w:bookmarkEnd w:id="139"/>
    </w:p>
    <w:p>
      <w:pPr>
        <w:spacing w:after="156"/>
      </w:pPr>
      <w:r>
        <w:rPr>
          <w:rFonts w:hint="eastAsia"/>
        </w:rPr>
        <w:t>实行带班管理制度，每班次至少配置1名带班分析人员，负责监测报警基本分析和值班管理。当发现系统报警后，由带班分析人员立即进行综合研判，及时排除误报警。</w:t>
      </w:r>
    </w:p>
    <w:p>
      <w:pPr>
        <w:spacing w:after="156"/>
      </w:pPr>
      <w:r>
        <w:rPr>
          <w:rFonts w:hint="eastAsia"/>
        </w:rPr>
        <w:t>带队分析人员要求安全相关专业硕士及以上学历。按照不同监测领域分别至少配置1名专业人员，按照监测体量和实际运行情况可适当增设人员，或者结合实际购买第三方服务。</w:t>
      </w:r>
    </w:p>
    <w:p>
      <w:pPr>
        <w:spacing w:after="156"/>
      </w:pPr>
      <w:r>
        <w:rPr>
          <w:rFonts w:hint="eastAsia"/>
        </w:rPr>
        <w:t>当分析判定为系统故障后，应安排值守人员立即派发运维工单；当分析判定为真实报警后，应结合监测数据、附近危险源和防护目标、附近人口交通或环境等相关信息，按照当前警情可能导致安全事故性质、当前风险的态势发展程度、事故影响的严重程度等因素，对可能引发的城市安全事故进行风险预警分级。</w:t>
      </w:r>
    </w:p>
    <w:p>
      <w:pPr>
        <w:spacing w:after="156"/>
      </w:pPr>
      <w:r>
        <w:rPr>
          <w:rFonts w:hint="eastAsia"/>
        </w:rPr>
        <w:t>针对重大、疑难警情分析，应及时通过省级监管中心提供技术咨询和决策指导等服务。</w:t>
      </w:r>
    </w:p>
    <w:p>
      <w:pPr>
        <w:pStyle w:val="4"/>
        <w:spacing w:after="156"/>
      </w:pPr>
      <w:bookmarkStart w:id="140" w:name="_Toc184031869"/>
      <w:bookmarkStart w:id="141" w:name="_Toc182299782"/>
      <w:r>
        <w:rPr>
          <w:rFonts w:hint="eastAsia"/>
        </w:rPr>
        <w:t>预警分级</w:t>
      </w:r>
      <w:bookmarkEnd w:id="140"/>
      <w:bookmarkEnd w:id="141"/>
    </w:p>
    <w:p>
      <w:pPr>
        <w:spacing w:after="156"/>
      </w:pPr>
      <w:r>
        <w:rPr>
          <w:rFonts w:hint="eastAsia"/>
        </w:rPr>
        <w:t>按照当前警情可能导致城市安全事故性质、当前风险的态势发展程度、事故发生后可能影响的严重程度等因素，将城市生命线工程安全运行风险预警分为三级。</w:t>
      </w:r>
    </w:p>
    <w:p>
      <w:pPr>
        <w:pStyle w:val="11"/>
        <w:spacing w:after="156"/>
      </w:pPr>
      <w:r>
        <w:rPr>
          <w:rFonts w:hint="eastAsia"/>
        </w:rPr>
        <w:t>表</w:t>
      </w:r>
      <w:r>
        <w:fldChar w:fldCharType="begin"/>
      </w:r>
      <w:r>
        <w:instrText xml:space="preserve"> </w:instrText>
      </w:r>
      <w:r>
        <w:rPr>
          <w:rFonts w:hint="eastAsia"/>
        </w:rPr>
        <w:instrText xml:space="preserve">STYLEREF 2 \s</w:instrText>
      </w:r>
      <w:r>
        <w:instrText xml:space="preserve"> </w:instrText>
      </w:r>
      <w:r>
        <w:fldChar w:fldCharType="separate"/>
      </w:r>
      <w:r>
        <w:t>10.4</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t>1</w:t>
      </w:r>
      <w:r>
        <w:fldChar w:fldCharType="end"/>
      </w:r>
      <w:r>
        <w:rPr>
          <w:rFonts w:hint="eastAsia"/>
        </w:rPr>
        <w:t>城市基础设施生命线安全工程运行风险预警分级</w:t>
      </w:r>
    </w:p>
    <w:tbl>
      <w:tblPr>
        <w:tblStyle w:val="2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95"/>
        <w:gridCol w:w="6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959" w:type="pct"/>
            <w:vAlign w:val="center"/>
          </w:tcPr>
          <w:p>
            <w:pPr>
              <w:spacing w:after="156" w:line="240" w:lineRule="auto"/>
              <w:ind w:firstLine="0" w:firstLineChars="0"/>
              <w:jc w:val="center"/>
              <w:rPr>
                <w:sz w:val="21"/>
                <w:szCs w:val="21"/>
                <w:lang w:eastAsia="en-US"/>
              </w:rPr>
            </w:pPr>
            <w:r>
              <w:rPr>
                <w:rFonts w:hint="eastAsia"/>
                <w:sz w:val="21"/>
                <w:szCs w:val="21"/>
                <w:lang w:eastAsia="en-US"/>
              </w:rPr>
              <w:t>预警级别</w:t>
            </w:r>
          </w:p>
        </w:tc>
        <w:tc>
          <w:tcPr>
            <w:tcW w:w="4041" w:type="pct"/>
            <w:vAlign w:val="center"/>
          </w:tcPr>
          <w:p>
            <w:pPr>
              <w:spacing w:after="156" w:line="240" w:lineRule="auto"/>
              <w:ind w:firstLine="0" w:firstLineChars="0"/>
              <w:jc w:val="center"/>
              <w:rPr>
                <w:sz w:val="21"/>
                <w:szCs w:val="21"/>
                <w:lang w:eastAsia="en-US"/>
              </w:rPr>
            </w:pPr>
            <w:r>
              <w:rPr>
                <w:rFonts w:hint="eastAsia"/>
                <w:sz w:val="21"/>
                <w:szCs w:val="21"/>
                <w:lang w:eastAsia="en-US"/>
              </w:rPr>
              <w:t>级别说明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959" w:type="pct"/>
            <w:vAlign w:val="center"/>
          </w:tcPr>
          <w:p>
            <w:pPr>
              <w:spacing w:after="156" w:line="240" w:lineRule="auto"/>
              <w:ind w:firstLine="0" w:firstLineChars="0"/>
              <w:jc w:val="center"/>
              <w:rPr>
                <w:sz w:val="21"/>
                <w:szCs w:val="21"/>
                <w:lang w:eastAsia="en-US"/>
              </w:rPr>
            </w:pPr>
            <w:r>
              <w:rPr>
                <w:rFonts w:hint="eastAsia"/>
                <w:sz w:val="21"/>
                <w:szCs w:val="21"/>
                <w:lang w:eastAsia="en-US"/>
              </w:rPr>
              <w:t>一级</w:t>
            </w:r>
          </w:p>
        </w:tc>
        <w:tc>
          <w:tcPr>
            <w:tcW w:w="4041" w:type="pct"/>
            <w:vAlign w:val="center"/>
          </w:tcPr>
          <w:p>
            <w:pPr>
              <w:spacing w:after="156" w:line="240" w:lineRule="auto"/>
              <w:ind w:firstLine="0" w:firstLineChars="0"/>
              <w:rPr>
                <w:sz w:val="21"/>
                <w:szCs w:val="21"/>
              </w:rPr>
            </w:pPr>
            <w:r>
              <w:rPr>
                <w:rFonts w:hint="eastAsia"/>
                <w:sz w:val="21"/>
                <w:szCs w:val="21"/>
              </w:rPr>
              <w:t>预计将要发生一般及以上突发事件，事件会随时发生，事态正在不断蔓延，后果很严重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959" w:type="pct"/>
            <w:vAlign w:val="center"/>
          </w:tcPr>
          <w:p>
            <w:pPr>
              <w:spacing w:after="156" w:line="240" w:lineRule="auto"/>
              <w:ind w:firstLine="0" w:firstLineChars="0"/>
              <w:jc w:val="center"/>
              <w:rPr>
                <w:sz w:val="21"/>
                <w:szCs w:val="21"/>
                <w:lang w:eastAsia="en-US"/>
              </w:rPr>
            </w:pPr>
            <w:r>
              <w:rPr>
                <w:rFonts w:hint="eastAsia"/>
                <w:sz w:val="21"/>
                <w:szCs w:val="21"/>
                <w:lang w:eastAsia="en-US"/>
              </w:rPr>
              <w:t>二级</w:t>
            </w:r>
          </w:p>
        </w:tc>
        <w:tc>
          <w:tcPr>
            <w:tcW w:w="4041" w:type="pct"/>
            <w:vAlign w:val="center"/>
          </w:tcPr>
          <w:p>
            <w:pPr>
              <w:spacing w:after="156" w:line="240" w:lineRule="auto"/>
              <w:ind w:firstLine="0" w:firstLineChars="0"/>
              <w:rPr>
                <w:sz w:val="21"/>
                <w:szCs w:val="21"/>
              </w:rPr>
            </w:pPr>
            <w:r>
              <w:rPr>
                <w:rFonts w:hint="eastAsia"/>
                <w:sz w:val="21"/>
                <w:szCs w:val="21"/>
              </w:rPr>
              <w:t>预计会发生一般及以上突发事件，事件即将临近，事</w:t>
            </w:r>
            <w:r>
              <w:rPr>
                <w:rFonts w:hint="eastAsia"/>
                <w:spacing w:val="-4"/>
                <w:sz w:val="21"/>
                <w:szCs w:val="21"/>
              </w:rPr>
              <w:t>态正在逐步扩大，后果比较严重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959" w:type="pct"/>
            <w:vAlign w:val="center"/>
          </w:tcPr>
          <w:p>
            <w:pPr>
              <w:spacing w:after="156" w:line="240" w:lineRule="auto"/>
              <w:ind w:firstLine="0" w:firstLineChars="0"/>
              <w:jc w:val="center"/>
              <w:rPr>
                <w:sz w:val="21"/>
                <w:szCs w:val="21"/>
                <w:lang w:eastAsia="en-US"/>
              </w:rPr>
            </w:pPr>
            <w:r>
              <w:rPr>
                <w:sz w:val="21"/>
                <w:szCs w:val="21"/>
                <w:lang w:eastAsia="en-US"/>
              </w:rPr>
              <w:t>三级</w:t>
            </w:r>
          </w:p>
        </w:tc>
        <w:tc>
          <w:tcPr>
            <w:tcW w:w="4041" w:type="pct"/>
            <w:vAlign w:val="center"/>
          </w:tcPr>
          <w:p>
            <w:pPr>
              <w:spacing w:after="156" w:line="240" w:lineRule="auto"/>
              <w:ind w:firstLine="0" w:firstLineChars="0"/>
              <w:rPr>
                <w:sz w:val="21"/>
                <w:szCs w:val="21"/>
              </w:rPr>
            </w:pPr>
            <w:r>
              <w:rPr>
                <w:sz w:val="21"/>
                <w:szCs w:val="21"/>
              </w:rPr>
              <w:t>预计可能会发生一般突发事件，事件可能会来临，事</w:t>
            </w:r>
            <w:r>
              <w:rPr>
                <w:spacing w:val="-4"/>
                <w:sz w:val="21"/>
                <w:szCs w:val="21"/>
              </w:rPr>
              <w:t>态有扩大的趋势</w:t>
            </w:r>
          </w:p>
        </w:tc>
      </w:tr>
    </w:tbl>
    <w:p>
      <w:pPr>
        <w:pStyle w:val="3"/>
        <w:spacing w:after="156"/>
      </w:pPr>
      <w:bookmarkStart w:id="142" w:name="_Toc182299783"/>
      <w:bookmarkStart w:id="143" w:name="_Toc184031870"/>
      <w:r>
        <w:rPr>
          <w:rFonts w:hint="eastAsia"/>
        </w:rPr>
        <w:t>联动响应</w:t>
      </w:r>
      <w:bookmarkEnd w:id="142"/>
      <w:bookmarkEnd w:id="143"/>
    </w:p>
    <w:p>
      <w:pPr>
        <w:spacing w:after="156"/>
      </w:pPr>
      <w:r>
        <w:rPr>
          <w:rFonts w:hint="eastAsia"/>
        </w:rPr>
        <w:t>1、一级预警</w:t>
      </w:r>
    </w:p>
    <w:p>
      <w:pPr>
        <w:spacing w:after="156"/>
      </w:pPr>
      <w:r>
        <w:rPr>
          <w:rFonts w:hint="eastAsia"/>
        </w:rPr>
        <w:t>（1）监测中心通过预警分析判定为一级风险后，应立即将预警信息发送至权属责任单位、行业监管部门和城市安全主管机构，并持续进行监测分析，必要时进行现场技术支持。</w:t>
      </w:r>
    </w:p>
    <w:p>
      <w:pPr>
        <w:spacing w:after="156"/>
      </w:pPr>
      <w:r>
        <w:rPr>
          <w:rFonts w:hint="eastAsia"/>
        </w:rPr>
        <w:t>（2）权属责任单位按照相关技术要求进行现场排查处置并及时向监测中心反馈相关情况。行业监管部门视情况进行抢修监督和处置协调。</w:t>
      </w:r>
    </w:p>
    <w:p>
      <w:pPr>
        <w:spacing w:after="156"/>
      </w:pPr>
      <w:r>
        <w:rPr>
          <w:rFonts w:hint="eastAsia"/>
        </w:rPr>
        <w:t>（3）城市安全主管机构组织相关部门做好应急准备，视情况启动应急预案。待完成处置后，监测中心解除预警，预警响应终止。</w:t>
      </w:r>
    </w:p>
    <w:p>
      <w:pPr>
        <w:spacing w:after="156"/>
      </w:pPr>
      <w:r>
        <w:rPr>
          <w:rFonts w:hint="eastAsia"/>
        </w:rPr>
        <w:t>（4）监测中心可根据现场实际情况，适时调整风险应急级别。</w:t>
      </w:r>
    </w:p>
    <w:p>
      <w:pPr>
        <w:pStyle w:val="11"/>
        <w:spacing w:after="156"/>
      </w:pPr>
      <w:r>
        <w:rPr>
          <w:rFonts w:hint="eastAsia"/>
        </w:rPr>
        <w:drawing>
          <wp:inline distT="0" distB="0" distL="0" distR="0">
            <wp:extent cx="5038725" cy="2653665"/>
            <wp:effectExtent l="0" t="0" r="0" b="0"/>
            <wp:docPr id="3" name="image2.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true"/>
                    </pic:cNvPicPr>
                  </pic:nvPicPr>
                  <pic:blipFill>
                    <a:blip r:embed="rId12" cstate="print"/>
                    <a:stretch>
                      <a:fillRect/>
                    </a:stretch>
                  </pic:blipFill>
                  <pic:spPr>
                    <a:xfrm>
                      <a:off x="0" y="0"/>
                      <a:ext cx="5039327" cy="2654046"/>
                    </a:xfrm>
                    <a:prstGeom prst="rect">
                      <a:avLst/>
                    </a:prstGeom>
                  </pic:spPr>
                </pic:pic>
              </a:graphicData>
            </a:graphic>
          </wp:inline>
        </w:drawing>
      </w:r>
    </w:p>
    <w:p>
      <w:pPr>
        <w:pStyle w:val="11"/>
        <w:spacing w:after="156"/>
      </w:pPr>
      <w:r>
        <w:rPr>
          <w:rFonts w:hint="eastAsia"/>
        </w:rPr>
        <w:t>图</w:t>
      </w:r>
      <w:r>
        <w:fldChar w:fldCharType="begin"/>
      </w:r>
      <w:r>
        <w:instrText xml:space="preserve"> </w:instrText>
      </w:r>
      <w:r>
        <w:rPr>
          <w:rFonts w:hint="eastAsia"/>
        </w:rPr>
        <w:instrText xml:space="preserve">STYLEREF 2 \s</w:instrText>
      </w:r>
      <w:r>
        <w:instrText xml:space="preserve"> </w:instrText>
      </w:r>
      <w:r>
        <w:fldChar w:fldCharType="separate"/>
      </w:r>
      <w:r>
        <w:t>10.5</w:t>
      </w:r>
      <w:r>
        <w:fldChar w:fldCharType="end"/>
      </w:r>
      <w:r>
        <w:noBreakHyphen/>
      </w:r>
      <w:r>
        <w:fldChar w:fldCharType="begin"/>
      </w:r>
      <w:r>
        <w:instrText xml:space="preserve"> </w:instrText>
      </w:r>
      <w:r>
        <w:rPr>
          <w:rFonts w:hint="eastAsia"/>
        </w:rPr>
        <w:instrText xml:space="preserve">SEQ 图 \* ARABIC \s 2</w:instrText>
      </w:r>
      <w:r>
        <w:instrText xml:space="preserve"> </w:instrText>
      </w:r>
      <w:r>
        <w:fldChar w:fldCharType="separate"/>
      </w:r>
      <w:r>
        <w:t>1</w:t>
      </w:r>
      <w:r>
        <w:fldChar w:fldCharType="end"/>
      </w:r>
      <w:r>
        <w:rPr>
          <w:rFonts w:hint="eastAsia"/>
        </w:rPr>
        <w:t>一级预警联动响应流程图</w:t>
      </w:r>
    </w:p>
    <w:p>
      <w:pPr>
        <w:spacing w:after="156"/>
      </w:pPr>
      <w:r>
        <w:rPr>
          <w:rFonts w:hint="eastAsia"/>
        </w:rPr>
        <w:t>2、二级预警</w:t>
      </w:r>
    </w:p>
    <w:p>
      <w:pPr>
        <w:spacing w:after="156"/>
      </w:pPr>
      <w:r>
        <w:rPr>
          <w:rFonts w:hint="eastAsia"/>
        </w:rPr>
        <w:t>（1）监测中心通过预警分析判定为二级风险后，应立即将预警信息发送至权属责任单位和行业监管部门，并持续进行监测分析，必要时进行现场技术支持。</w:t>
      </w:r>
    </w:p>
    <w:p>
      <w:pPr>
        <w:spacing w:after="156"/>
      </w:pPr>
      <w:r>
        <w:rPr>
          <w:rFonts w:hint="eastAsia"/>
        </w:rPr>
        <w:t>（2）权属责任单位按照相关技术要求进行现场排查处置并及时向监测中心反馈相关情况。</w:t>
      </w:r>
    </w:p>
    <w:p>
      <w:pPr>
        <w:spacing w:after="156"/>
      </w:pPr>
      <w:r>
        <w:rPr>
          <w:rFonts w:hint="eastAsia"/>
        </w:rPr>
        <w:t>（3）行业监管部门视情况进行抢修监督和处置协调。待完成处置后，监测中心解除预警，预警响应终止。</w:t>
      </w:r>
    </w:p>
    <w:p>
      <w:pPr>
        <w:spacing w:after="156"/>
      </w:pPr>
      <w:r>
        <w:rPr>
          <w:rFonts w:hint="eastAsia"/>
        </w:rPr>
        <w:t>（4）监测中心可根据现场实际情况，适时调整风险应急级别。</w:t>
      </w:r>
    </w:p>
    <w:p>
      <w:pPr>
        <w:pStyle w:val="11"/>
        <w:spacing w:after="156"/>
      </w:pPr>
      <w:r>
        <w:rPr>
          <w:rFonts w:hint="eastAsia"/>
        </w:rPr>
        <w:drawing>
          <wp:inline distT="0" distB="0" distL="0" distR="0">
            <wp:extent cx="4984750" cy="2489200"/>
            <wp:effectExtent l="0" t="0" r="0" b="0"/>
            <wp:docPr id="5" name="image3.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true"/>
                    </pic:cNvPicPr>
                  </pic:nvPicPr>
                  <pic:blipFill>
                    <a:blip r:embed="rId13" cstate="print"/>
                    <a:stretch>
                      <a:fillRect/>
                    </a:stretch>
                  </pic:blipFill>
                  <pic:spPr>
                    <a:xfrm>
                      <a:off x="0" y="0"/>
                      <a:ext cx="4985017" cy="2489454"/>
                    </a:xfrm>
                    <a:prstGeom prst="rect">
                      <a:avLst/>
                    </a:prstGeom>
                  </pic:spPr>
                </pic:pic>
              </a:graphicData>
            </a:graphic>
          </wp:inline>
        </w:drawing>
      </w:r>
    </w:p>
    <w:p>
      <w:pPr>
        <w:pStyle w:val="11"/>
        <w:spacing w:after="156"/>
      </w:pPr>
      <w:r>
        <w:rPr>
          <w:rFonts w:hint="eastAsia"/>
        </w:rPr>
        <w:t>图</w:t>
      </w:r>
      <w:r>
        <w:fldChar w:fldCharType="begin"/>
      </w:r>
      <w:r>
        <w:instrText xml:space="preserve"> </w:instrText>
      </w:r>
      <w:r>
        <w:rPr>
          <w:rFonts w:hint="eastAsia"/>
        </w:rPr>
        <w:instrText xml:space="preserve">STYLEREF 2 \s</w:instrText>
      </w:r>
      <w:r>
        <w:instrText xml:space="preserve"> </w:instrText>
      </w:r>
      <w:r>
        <w:fldChar w:fldCharType="separate"/>
      </w:r>
      <w:r>
        <w:t>10.5</w:t>
      </w:r>
      <w:r>
        <w:fldChar w:fldCharType="end"/>
      </w:r>
      <w:r>
        <w:noBreakHyphen/>
      </w:r>
      <w:r>
        <w:fldChar w:fldCharType="begin"/>
      </w:r>
      <w:r>
        <w:instrText xml:space="preserve"> </w:instrText>
      </w:r>
      <w:r>
        <w:rPr>
          <w:rFonts w:hint="eastAsia"/>
        </w:rPr>
        <w:instrText xml:space="preserve">SEQ 图 \* ARABIC \s 2</w:instrText>
      </w:r>
      <w:r>
        <w:instrText xml:space="preserve"> </w:instrText>
      </w:r>
      <w:r>
        <w:fldChar w:fldCharType="separate"/>
      </w:r>
      <w:r>
        <w:t>2</w:t>
      </w:r>
      <w:r>
        <w:fldChar w:fldCharType="end"/>
      </w:r>
      <w:r>
        <w:rPr>
          <w:rFonts w:hint="eastAsia"/>
        </w:rPr>
        <w:t>二级预警联动响应流程图</w:t>
      </w:r>
    </w:p>
    <w:p>
      <w:pPr>
        <w:spacing w:after="156"/>
      </w:pPr>
      <w:r>
        <w:rPr>
          <w:rFonts w:hint="eastAsia"/>
        </w:rPr>
        <w:t>3、三级预警</w:t>
      </w:r>
    </w:p>
    <w:p>
      <w:pPr>
        <w:spacing w:after="156"/>
      </w:pPr>
      <w:r>
        <w:rPr>
          <w:rFonts w:hint="eastAsia"/>
        </w:rPr>
        <w:t>（1）监测中心通过预警分析判定为三级风险后，应立即将预警信息发送至权属责任单位，并持续进行监测分析，必要时进行现场技术支持。</w:t>
      </w:r>
    </w:p>
    <w:p>
      <w:pPr>
        <w:spacing w:after="156"/>
      </w:pPr>
      <w:r>
        <w:rPr>
          <w:rFonts w:hint="eastAsia"/>
        </w:rPr>
        <w:t>（2）权属责任单位按照相关技术要求进行现场排查处置并及时向监测中心反馈相关情况。待完成处置后，监测中心解除预警，应急响应终止。</w:t>
      </w:r>
    </w:p>
    <w:p>
      <w:pPr>
        <w:spacing w:after="156"/>
      </w:pPr>
      <w:r>
        <w:rPr>
          <w:rFonts w:hint="eastAsia"/>
        </w:rPr>
        <w:t>（3）监测中心可根据现场实际情况，适时调整风险预警级别。</w:t>
      </w:r>
    </w:p>
    <w:p>
      <w:pPr>
        <w:pStyle w:val="11"/>
        <w:spacing w:after="156"/>
      </w:pPr>
      <w:r>
        <w:rPr>
          <w:rFonts w:hint="eastAsia"/>
        </w:rPr>
        <w:drawing>
          <wp:inline distT="0" distB="0" distL="0" distR="0">
            <wp:extent cx="5054600" cy="2611120"/>
            <wp:effectExtent l="0" t="0" r="0" b="0"/>
            <wp:docPr id="7" name="image4.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true"/>
                    </pic:cNvPicPr>
                  </pic:nvPicPr>
                  <pic:blipFill>
                    <a:blip r:embed="rId14" cstate="print"/>
                    <a:stretch>
                      <a:fillRect/>
                    </a:stretch>
                  </pic:blipFill>
                  <pic:spPr>
                    <a:xfrm>
                      <a:off x="0" y="0"/>
                      <a:ext cx="5054804" cy="2611469"/>
                    </a:xfrm>
                    <a:prstGeom prst="rect">
                      <a:avLst/>
                    </a:prstGeom>
                  </pic:spPr>
                </pic:pic>
              </a:graphicData>
            </a:graphic>
          </wp:inline>
        </w:drawing>
      </w:r>
    </w:p>
    <w:p>
      <w:pPr>
        <w:pStyle w:val="11"/>
        <w:spacing w:after="156"/>
      </w:pPr>
      <w:r>
        <w:rPr>
          <w:rFonts w:hint="eastAsia"/>
        </w:rPr>
        <w:t>图</w:t>
      </w:r>
      <w:r>
        <w:fldChar w:fldCharType="begin"/>
      </w:r>
      <w:r>
        <w:instrText xml:space="preserve"> </w:instrText>
      </w:r>
      <w:r>
        <w:rPr>
          <w:rFonts w:hint="eastAsia"/>
        </w:rPr>
        <w:instrText xml:space="preserve">STYLEREF 2 \s</w:instrText>
      </w:r>
      <w:r>
        <w:instrText xml:space="preserve"> </w:instrText>
      </w:r>
      <w:r>
        <w:fldChar w:fldCharType="separate"/>
      </w:r>
      <w:r>
        <w:t>10.5</w:t>
      </w:r>
      <w:r>
        <w:fldChar w:fldCharType="end"/>
      </w:r>
      <w:r>
        <w:noBreakHyphen/>
      </w:r>
      <w:r>
        <w:fldChar w:fldCharType="begin"/>
      </w:r>
      <w:r>
        <w:instrText xml:space="preserve"> </w:instrText>
      </w:r>
      <w:r>
        <w:rPr>
          <w:rFonts w:hint="eastAsia"/>
        </w:rPr>
        <w:instrText xml:space="preserve">SEQ 图 \* ARABIC \s 2</w:instrText>
      </w:r>
      <w:r>
        <w:instrText xml:space="preserve"> </w:instrText>
      </w:r>
      <w:r>
        <w:fldChar w:fldCharType="separate"/>
      </w:r>
      <w:r>
        <w:t>3</w:t>
      </w:r>
      <w:r>
        <w:fldChar w:fldCharType="end"/>
      </w:r>
      <w:r>
        <w:rPr>
          <w:rFonts w:hint="eastAsia"/>
        </w:rPr>
        <w:t>三级预警联动响应流程图</w:t>
      </w:r>
    </w:p>
    <w:p>
      <w:pPr>
        <w:pStyle w:val="3"/>
        <w:spacing w:after="156"/>
      </w:pPr>
      <w:bookmarkStart w:id="144" w:name="_Toc184031871"/>
      <w:bookmarkStart w:id="145" w:name="_Toc182299784"/>
      <w:r>
        <w:rPr>
          <w:rFonts w:hint="eastAsia"/>
        </w:rPr>
        <w:t>运行维护</w:t>
      </w:r>
      <w:bookmarkEnd w:id="144"/>
      <w:bookmarkEnd w:id="145"/>
    </w:p>
    <w:p>
      <w:pPr>
        <w:spacing w:after="156"/>
      </w:pPr>
      <w:r>
        <w:rPr>
          <w:rFonts w:hint="eastAsia"/>
        </w:rPr>
        <w:t>1、日常管理</w:t>
      </w:r>
    </w:p>
    <w:p>
      <w:pPr>
        <w:spacing w:after="156"/>
      </w:pPr>
      <w:r>
        <w:rPr>
          <w:rFonts w:hint="eastAsia"/>
        </w:rPr>
        <w:t>制定监测中心运行维护管理制度，监测平台运行、数据交换、数据备份等状态。对操作系统、数据库系统、应用系统和网络设备设置权限。制定有效的备份管理制度，定期对各类数据进行备份。定期分析应用系统日志、数据库日志和业务操作日志等系统运行日志，及时发现并处置异常情况。</w:t>
      </w:r>
    </w:p>
    <w:p>
      <w:pPr>
        <w:spacing w:after="156"/>
      </w:pPr>
      <w:r>
        <w:rPr>
          <w:rFonts w:hint="eastAsia"/>
        </w:rPr>
        <w:t>2、现场运维</w:t>
      </w:r>
    </w:p>
    <w:p>
      <w:pPr>
        <w:spacing w:after="156"/>
      </w:pPr>
      <w:r>
        <w:rPr>
          <w:rFonts w:hint="eastAsia"/>
        </w:rPr>
        <w:t>监测中心应配置专业人员负责前端监测设备和监测中心软硬件配套设备设施的运行故障维修处置、定期巡检养护等工作。当接到监测值守人员派发的运维工单后，应按照不同故障类型在规定时间内进行维护处置，并及时反馈形成闭环归档，前端监测设备在线率应保证在95%以上。当巡检发现运行故障时，应及时进行养护或风险处置，并总结归档。</w:t>
      </w:r>
    </w:p>
    <w:p>
      <w:pPr>
        <w:spacing w:after="156"/>
      </w:pPr>
      <w:r>
        <w:rPr>
          <w:rFonts w:hint="eastAsia"/>
        </w:rPr>
        <w:t>3、应急保障</w:t>
      </w:r>
    </w:p>
    <w:p>
      <w:pPr>
        <w:spacing w:after="156"/>
      </w:pPr>
      <w:r>
        <w:rPr>
          <w:rFonts w:hint="eastAsia"/>
        </w:rPr>
        <w:t>制定有效的运行应急预案，定期组织演练。应急预案应包括网络、服务器、存储设备、平台软件系统异常等情况的处置方案，确保城市基础设施生命线安全工程平稳高效运行。</w:t>
      </w:r>
    </w:p>
    <w:p>
      <w:pPr>
        <w:pStyle w:val="3"/>
        <w:spacing w:after="156"/>
      </w:pPr>
      <w:bookmarkStart w:id="146" w:name="_Toc182299785"/>
      <w:bookmarkStart w:id="147" w:name="_Toc184031872"/>
      <w:r>
        <w:rPr>
          <w:rFonts w:hint="eastAsia"/>
        </w:rPr>
        <w:t>考核评估</w:t>
      </w:r>
      <w:bookmarkEnd w:id="146"/>
      <w:bookmarkEnd w:id="147"/>
    </w:p>
    <w:p>
      <w:pPr>
        <w:spacing w:after="156"/>
      </w:pPr>
      <w:r>
        <w:rPr>
          <w:rFonts w:hint="eastAsia"/>
        </w:rPr>
        <w:t>各市政府对市级监测中心运行工作进行考核评估，重点评估监测系统运行状况、应对风险和应急事件的效果、反映运行存在的问题和风险、提出意见和建议等。对相关单位警情联动处置全过程进行监督评价，纳入单位/部门年度绩效考核，提升城市生命线安全精细化管理水平。</w:t>
      </w:r>
    </w:p>
    <w:p>
      <w:pPr>
        <w:widowControl/>
        <w:spacing w:after="156" w:line="240" w:lineRule="auto"/>
        <w:ind w:firstLine="0" w:firstLineChars="0"/>
        <w:jc w:val="left"/>
        <w:rPr>
          <w:rFonts w:eastAsia="宋体"/>
          <w:kern w:val="0"/>
          <w:sz w:val="20"/>
          <w:szCs w:val="20"/>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6982186"/>
    </w:sdtPr>
    <w:sdtContent>
      <w:p>
        <w:pPr>
          <w:pStyle w:val="16"/>
          <w:spacing w:after="120"/>
        </w:pPr>
        <w:r>
          <w:fldChar w:fldCharType="begin"/>
        </w:r>
        <w:r>
          <w:instrText xml:space="preserve">PAGE   \* MERGEFORMAT</w:instrText>
        </w:r>
        <w:r>
          <w:fldChar w:fldCharType="separate"/>
        </w:r>
        <w:r>
          <w:rPr>
            <w:lang w:val="zh-CN"/>
          </w:rPr>
          <w:t>2</w:t>
        </w:r>
        <w:r>
          <w:fldChar w:fldCharType="end"/>
        </w:r>
      </w:p>
    </w:sdtContent>
  </w:sdt>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2071689672"/>
    </w:sdtPr>
    <w:sdtEndPr>
      <w:rPr>
        <w:sz w:val="28"/>
        <w:szCs w:val="28"/>
      </w:rPr>
    </w:sdtEndPr>
    <w:sdtContent>
      <w:p>
        <w:pPr>
          <w:pStyle w:val="16"/>
          <w:spacing w:after="120"/>
          <w:rPr>
            <w:sz w:val="28"/>
            <w:szCs w:val="28"/>
          </w:rPr>
        </w:pPr>
      </w:p>
      <w:p>
        <w:pPr>
          <w:pStyle w:val="16"/>
          <w:spacing w:after="120"/>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p>
    <w:pPr>
      <w:spacing w:after="120"/>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2732C7"/>
    <w:multiLevelType w:val="multilevel"/>
    <w:tmpl w:val="112732C7"/>
    <w:lvl w:ilvl="0" w:tentative="0">
      <w:start w:val="1"/>
      <w:numFmt w:val="decimal"/>
      <w:pStyle w:val="2"/>
      <w:suff w:val="space"/>
      <w:lvlText w:val="第%1章"/>
      <w:lvlJc w:val="center"/>
      <w:pPr>
        <w:ind w:left="0" w:firstLine="0"/>
      </w:pPr>
      <w:rPr>
        <w:rFonts w:hint="default" w:ascii="Times New Roman" w:hAnsi="Times New Roman" w:eastAsia="黑体"/>
        <w:b/>
        <w:i w:val="0"/>
        <w:caps w:val="0"/>
        <w:strike w:val="0"/>
        <w:dstrike w:val="0"/>
        <w:vanish w:val="0"/>
        <w:color w:val="auto"/>
        <w:sz w:val="36"/>
        <w:vertAlign w:val="baseline"/>
        <w14:shadow w14:blurRad="0" w14:dist="0" w14:dir="0" w14:sx="0" w14:sy="0" w14:kx="0" w14:ky="0" w14:algn="none">
          <w14:srgbClr w14:val="000000"/>
        </w14:shadow>
      </w:rPr>
    </w:lvl>
    <w:lvl w:ilvl="1" w:tentative="0">
      <w:start w:val="1"/>
      <w:numFmt w:val="decimal"/>
      <w:pStyle w:val="3"/>
      <w:isLgl/>
      <w:suff w:val="space"/>
      <w:lvlText w:val="%1.%2"/>
      <w:lvlJc w:val="left"/>
      <w:pPr>
        <w:ind w:left="0" w:firstLine="0"/>
      </w:pPr>
      <w:rPr>
        <w:rFonts w:hint="default" w:ascii="Times New Roman" w:hAnsi="Times New Roman" w:eastAsia="黑体"/>
        <w:b w:val="0"/>
        <w:i w:val="0"/>
        <w:caps w:val="0"/>
        <w:strike w:val="0"/>
        <w:dstrike w:val="0"/>
        <w:vanish w:val="0"/>
        <w:color w:val="auto"/>
        <w:sz w:val="32"/>
        <w:vertAlign w:val="baseline"/>
        <w14:shadow w14:blurRad="0" w14:dist="0" w14:dir="0" w14:sx="0" w14:sy="0" w14:kx="0" w14:ky="0" w14:algn="none">
          <w14:srgbClr w14:val="000000"/>
        </w14:shadow>
      </w:rPr>
    </w:lvl>
    <w:lvl w:ilvl="2" w:tentative="0">
      <w:start w:val="1"/>
      <w:numFmt w:val="decimal"/>
      <w:pStyle w:val="4"/>
      <w:isLgl/>
      <w:suff w:val="space"/>
      <w:lvlText w:val="%1.%2.%3"/>
      <w:lvlJc w:val="left"/>
      <w:pPr>
        <w:ind w:left="0" w:firstLine="0"/>
      </w:pPr>
      <w:rPr>
        <w:rFonts w:hint="default" w:ascii="Times New Roman" w:hAnsi="Times New Roman" w:eastAsia="黑体"/>
        <w:b w:val="0"/>
        <w:i w:val="0"/>
        <w:caps w:val="0"/>
        <w:strike w:val="0"/>
        <w:dstrike w:val="0"/>
        <w:vanish w:val="0"/>
        <w:color w:val="auto"/>
        <w:sz w:val="32"/>
        <w:vertAlign w:val="baseline"/>
        <w14:shadow w14:blurRad="0" w14:dist="0" w14:dir="0" w14:sx="0" w14:sy="0" w14:kx="0" w14:ky="0" w14:algn="none">
          <w14:srgbClr w14:val="000000"/>
        </w14:shadow>
      </w:rPr>
    </w:lvl>
    <w:lvl w:ilvl="3" w:tentative="0">
      <w:start w:val="1"/>
      <w:numFmt w:val="decimal"/>
      <w:pStyle w:val="5"/>
      <w:isLgl/>
      <w:suff w:val="space"/>
      <w:lvlText w:val="%1.%2.%3.%4"/>
      <w:lvlJc w:val="left"/>
      <w:pPr>
        <w:ind w:left="0" w:firstLine="0"/>
      </w:pPr>
      <w:rPr>
        <w:rFonts w:hint="default" w:ascii="Times New Roman" w:hAnsi="Times New Roman" w:eastAsia="黑体"/>
        <w:b w:val="0"/>
        <w:i w:val="0"/>
        <w:caps w:val="0"/>
        <w:strike w:val="0"/>
        <w:dstrike w:val="0"/>
        <w:vanish w:val="0"/>
        <w:color w:val="auto"/>
        <w:sz w:val="32"/>
        <w:vertAlign w:val="baseline"/>
        <w14:shadow w14:blurRad="0" w14:dist="0" w14:dir="0" w14:sx="0" w14:sy="0" w14:kx="0" w14:ky="0" w14:algn="none">
          <w14:srgbClr w14:val="000000"/>
        </w14:shadow>
      </w:rPr>
    </w:lvl>
    <w:lvl w:ilvl="4" w:tentative="0">
      <w:start w:val="1"/>
      <w:numFmt w:val="decimal"/>
      <w:pStyle w:val="6"/>
      <w:isLgl/>
      <w:suff w:val="space"/>
      <w:lvlText w:val="%1.%2.%3.%4.%5"/>
      <w:lvlJc w:val="left"/>
      <w:pPr>
        <w:ind w:left="0" w:firstLine="0"/>
      </w:pPr>
      <w:rPr>
        <w:rFonts w:hint="default" w:ascii="Times New Roman" w:hAnsi="Times New Roman" w:eastAsia="黑体"/>
        <w:b w:val="0"/>
        <w:i w:val="0"/>
        <w:caps w:val="0"/>
        <w:strike w:val="0"/>
        <w:dstrike w:val="0"/>
        <w:vanish w:val="0"/>
        <w:color w:val="auto"/>
        <w:sz w:val="32"/>
        <w:vertAlign w:val="baseline"/>
        <w14:shadow w14:blurRad="0" w14:dist="0" w14:dir="0" w14:sx="0" w14:sy="0" w14:kx="0" w14:ky="0" w14:algn="none">
          <w14:srgbClr w14:val="000000"/>
        </w14:shadow>
      </w:rPr>
    </w:lvl>
    <w:lvl w:ilvl="5" w:tentative="0">
      <w:start w:val="1"/>
      <w:numFmt w:val="decimal"/>
      <w:pStyle w:val="7"/>
      <w:isLgl/>
      <w:suff w:val="space"/>
      <w:lvlText w:val="%1.%2.%3.%4.%5.%6"/>
      <w:lvlJc w:val="left"/>
      <w:pPr>
        <w:ind w:left="0" w:firstLine="0"/>
      </w:pPr>
      <w:rPr>
        <w:rFonts w:hint="default" w:ascii="Times" w:hAnsi="Times" w:eastAsia="黑体"/>
        <w:b w:val="0"/>
        <w:bCs w:val="0"/>
        <w:i w:val="0"/>
        <w:caps w:val="0"/>
        <w:strike w:val="0"/>
        <w:dstrike w:val="0"/>
        <w:vanish w:val="0"/>
        <w:color w:val="auto"/>
        <w:sz w:val="32"/>
        <w:szCs w:val="32"/>
        <w:vertAlign w:val="baseline"/>
        <w14:shadow w14:blurRad="0" w14:dist="0" w14:dir="0" w14:sx="0" w14:sy="0" w14:kx="0" w14:ky="0" w14:algn="none">
          <w14:srgbClr w14:val="000000"/>
        </w14:shadow>
      </w:rPr>
    </w:lvl>
    <w:lvl w:ilvl="6" w:tentative="0">
      <w:start w:val="1"/>
      <w:numFmt w:val="decimal"/>
      <w:pStyle w:val="8"/>
      <w:isLgl/>
      <w:suff w:val="space"/>
      <w:lvlText w:val="%1.%2.%3.%4.%5.%6.%7"/>
      <w:lvlJc w:val="left"/>
      <w:pPr>
        <w:ind w:left="0" w:firstLine="0"/>
      </w:pPr>
      <w:rPr>
        <w:rFonts w:hint="default" w:ascii="Times New Roman" w:hAnsi="Times New Roman" w:eastAsia="黑体"/>
        <w:b w:val="0"/>
        <w:i w:val="0"/>
        <w:caps w:val="0"/>
        <w:strike w:val="0"/>
        <w:dstrike w:val="0"/>
        <w:vanish w:val="0"/>
        <w:color w:val="auto"/>
        <w:sz w:val="32"/>
        <w:vertAlign w:val="baseline"/>
        <w14:shadow w14:blurRad="0" w14:dist="0" w14:dir="0" w14:sx="0" w14:sy="0" w14:kx="0" w14:ky="0" w14:algn="none">
          <w14:srgbClr w14:val="000000"/>
        </w14:shadow>
      </w:rPr>
    </w:lvl>
    <w:lvl w:ilvl="7" w:tentative="0">
      <w:start w:val="1"/>
      <w:numFmt w:val="decimal"/>
      <w:pStyle w:val="9"/>
      <w:isLgl/>
      <w:suff w:val="space"/>
      <w:lvlText w:val="%1.%2.%3.%4.%5.%6.%7.%8"/>
      <w:lvlJc w:val="left"/>
      <w:pPr>
        <w:ind w:left="0" w:firstLine="0"/>
      </w:pPr>
      <w:rPr>
        <w:rFonts w:hint="default" w:ascii="Times New Roman" w:hAnsi="Times New Roman" w:eastAsia="黑体"/>
        <w:b w:val="0"/>
        <w:i w:val="0"/>
        <w:caps w:val="0"/>
        <w:strike w:val="0"/>
        <w:dstrike w:val="0"/>
        <w:vanish w:val="0"/>
        <w:color w:val="auto"/>
        <w:sz w:val="32"/>
        <w:vertAlign w:val="baseline"/>
        <w14:shadow w14:blurRad="0" w14:dist="0" w14:dir="0" w14:sx="0" w14:sy="0" w14:kx="0" w14:ky="0" w14:algn="none">
          <w14:srgbClr w14:val="000000"/>
        </w14:shadow>
      </w:rPr>
    </w:lvl>
    <w:lvl w:ilvl="8" w:tentative="0">
      <w:start w:val="1"/>
      <w:numFmt w:val="decimal"/>
      <w:pStyle w:val="10"/>
      <w:isLgl/>
      <w:suff w:val="space"/>
      <w:lvlText w:val="%1.%2.%3.%4.%5.%6.%7.%8.%9"/>
      <w:lvlJc w:val="left"/>
      <w:pPr>
        <w:ind w:left="0" w:firstLine="0"/>
      </w:pPr>
      <w:rPr>
        <w:rFonts w:hint="default" w:ascii="Times New Roman" w:hAnsi="Times New Roman" w:eastAsia="黑体"/>
        <w:b w:val="0"/>
        <w:i w:val="0"/>
        <w:caps w:val="0"/>
        <w:strike w:val="0"/>
        <w:dstrike w:val="0"/>
        <w:vanish w:val="0"/>
        <w:color w:val="auto"/>
        <w:sz w:val="32"/>
        <w:vertAlign w:val="baseline"/>
        <w14:shadow w14:blurRad="0" w14:dist="0" w14:dir="0" w14:sx="0" w14:sy="0" w14:kx="0" w14:ky="0" w14:algn="none">
          <w14:srgbClr w14:val="000000"/>
        </w14:shadow>
      </w:rPr>
    </w:lvl>
  </w:abstractNum>
  <w:abstractNum w:abstractNumId="1">
    <w:nsid w:val="37D17B48"/>
    <w:multiLevelType w:val="multilevel"/>
    <w:tmpl w:val="37D17B48"/>
    <w:lvl w:ilvl="0" w:tentative="0">
      <w:start w:val="1"/>
      <w:numFmt w:val="decimal"/>
      <w:pStyle w:val="50"/>
      <w:lvlText w:val="%1."/>
      <w:lvlJc w:val="left"/>
      <w:pPr>
        <w:tabs>
          <w:tab w:val="left" w:pos="567"/>
        </w:tabs>
        <w:ind w:left="567" w:firstLine="0"/>
      </w:pPr>
      <w:rPr>
        <w:rFonts w:hint="default"/>
        <w:b w:val="0"/>
        <w:bCs w:val="0"/>
      </w:rPr>
    </w:lvl>
    <w:lvl w:ilvl="1" w:tentative="0">
      <w:start w:val="1"/>
      <w:numFmt w:val="bullet"/>
      <w:lvlText w:val=""/>
      <w:lvlJc w:val="left"/>
      <w:pPr>
        <w:ind w:left="1480" w:hanging="440"/>
      </w:pPr>
      <w:rPr>
        <w:rFonts w:hint="default" w:ascii="Wingdings" w:hAnsi="Wingdings"/>
      </w:rPr>
    </w:lvl>
    <w:lvl w:ilvl="2" w:tentative="0">
      <w:start w:val="1"/>
      <w:numFmt w:val="bullet"/>
      <w:lvlText w:val=""/>
      <w:lvlJc w:val="left"/>
      <w:pPr>
        <w:ind w:left="1920" w:hanging="440"/>
      </w:pPr>
      <w:rPr>
        <w:rFonts w:hint="default" w:ascii="Wingdings" w:hAnsi="Wingdings"/>
      </w:rPr>
    </w:lvl>
    <w:lvl w:ilvl="3" w:tentative="0">
      <w:start w:val="1"/>
      <w:numFmt w:val="bullet"/>
      <w:lvlText w:val=""/>
      <w:lvlJc w:val="left"/>
      <w:pPr>
        <w:ind w:left="2360" w:hanging="440"/>
      </w:pPr>
      <w:rPr>
        <w:rFonts w:hint="default" w:ascii="Wingdings" w:hAnsi="Wingdings"/>
      </w:rPr>
    </w:lvl>
    <w:lvl w:ilvl="4" w:tentative="0">
      <w:start w:val="1"/>
      <w:numFmt w:val="bullet"/>
      <w:lvlText w:val=""/>
      <w:lvlJc w:val="left"/>
      <w:pPr>
        <w:ind w:left="2800" w:hanging="440"/>
      </w:pPr>
      <w:rPr>
        <w:rFonts w:hint="default" w:ascii="Wingdings" w:hAnsi="Wingdings"/>
      </w:rPr>
    </w:lvl>
    <w:lvl w:ilvl="5" w:tentative="0">
      <w:start w:val="1"/>
      <w:numFmt w:val="bullet"/>
      <w:lvlText w:val=""/>
      <w:lvlJc w:val="left"/>
      <w:pPr>
        <w:ind w:left="3240" w:hanging="440"/>
      </w:pPr>
      <w:rPr>
        <w:rFonts w:hint="default" w:ascii="Wingdings" w:hAnsi="Wingdings"/>
      </w:rPr>
    </w:lvl>
    <w:lvl w:ilvl="6" w:tentative="0">
      <w:start w:val="1"/>
      <w:numFmt w:val="bullet"/>
      <w:lvlText w:val=""/>
      <w:lvlJc w:val="left"/>
      <w:pPr>
        <w:ind w:left="3680" w:hanging="440"/>
      </w:pPr>
      <w:rPr>
        <w:rFonts w:hint="default" w:ascii="Wingdings" w:hAnsi="Wingdings"/>
      </w:rPr>
    </w:lvl>
    <w:lvl w:ilvl="7" w:tentative="0">
      <w:start w:val="1"/>
      <w:numFmt w:val="bullet"/>
      <w:lvlText w:val=""/>
      <w:lvlJc w:val="left"/>
      <w:pPr>
        <w:ind w:left="4120" w:hanging="440"/>
      </w:pPr>
      <w:rPr>
        <w:rFonts w:hint="default" w:ascii="Wingdings" w:hAnsi="Wingdings"/>
      </w:rPr>
    </w:lvl>
    <w:lvl w:ilvl="8" w:tentative="0">
      <w:start w:val="1"/>
      <w:numFmt w:val="bullet"/>
      <w:lvlText w:val=""/>
      <w:lvlJc w:val="left"/>
      <w:pPr>
        <w:ind w:left="4560" w:hanging="44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50"/>
  <w:drawingGridVerticalSpacing w:val="204"/>
  <w:noPunctuationKerning w:val="true"/>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5NTBiMzQ5ZjBhMDZkOTgyM2U5OWFkMDQyYmM4NjcifQ=="/>
    <w:docVar w:name="KSO_WPS_MARK_KEY" w:val="67ae38ba-7138-4c15-b1e9-f58529676779"/>
  </w:docVars>
  <w:rsids>
    <w:rsidRoot w:val="004B4B5A"/>
    <w:rsid w:val="00000CE2"/>
    <w:rsid w:val="00002322"/>
    <w:rsid w:val="00006DFB"/>
    <w:rsid w:val="000113DD"/>
    <w:rsid w:val="00011BB3"/>
    <w:rsid w:val="00017D0C"/>
    <w:rsid w:val="00030B01"/>
    <w:rsid w:val="00031BA1"/>
    <w:rsid w:val="000347B9"/>
    <w:rsid w:val="00034F6D"/>
    <w:rsid w:val="00040496"/>
    <w:rsid w:val="00042468"/>
    <w:rsid w:val="0005061D"/>
    <w:rsid w:val="00055419"/>
    <w:rsid w:val="00057646"/>
    <w:rsid w:val="00064117"/>
    <w:rsid w:val="000657CC"/>
    <w:rsid w:val="00073132"/>
    <w:rsid w:val="00080715"/>
    <w:rsid w:val="00093DCF"/>
    <w:rsid w:val="000A55F0"/>
    <w:rsid w:val="000B1EC4"/>
    <w:rsid w:val="000B7B72"/>
    <w:rsid w:val="000D79BF"/>
    <w:rsid w:val="000E6B12"/>
    <w:rsid w:val="000F366D"/>
    <w:rsid w:val="000F39E3"/>
    <w:rsid w:val="00103EC6"/>
    <w:rsid w:val="00112F1A"/>
    <w:rsid w:val="00117BAD"/>
    <w:rsid w:val="001273A2"/>
    <w:rsid w:val="00133F03"/>
    <w:rsid w:val="00140426"/>
    <w:rsid w:val="00141736"/>
    <w:rsid w:val="0015184D"/>
    <w:rsid w:val="00151DDA"/>
    <w:rsid w:val="00153487"/>
    <w:rsid w:val="00156866"/>
    <w:rsid w:val="00161770"/>
    <w:rsid w:val="00166E8A"/>
    <w:rsid w:val="00186C25"/>
    <w:rsid w:val="00191A18"/>
    <w:rsid w:val="00192C9C"/>
    <w:rsid w:val="001A6019"/>
    <w:rsid w:val="001B1034"/>
    <w:rsid w:val="001C08C3"/>
    <w:rsid w:val="001C5E52"/>
    <w:rsid w:val="001E1BBD"/>
    <w:rsid w:val="001E40B0"/>
    <w:rsid w:val="001F11DF"/>
    <w:rsid w:val="001F45D7"/>
    <w:rsid w:val="001F4DD9"/>
    <w:rsid w:val="00205C07"/>
    <w:rsid w:val="00212501"/>
    <w:rsid w:val="002233EA"/>
    <w:rsid w:val="0022742F"/>
    <w:rsid w:val="0024291B"/>
    <w:rsid w:val="00263936"/>
    <w:rsid w:val="002703D9"/>
    <w:rsid w:val="002711D6"/>
    <w:rsid w:val="00282C1B"/>
    <w:rsid w:val="00291A35"/>
    <w:rsid w:val="002A662F"/>
    <w:rsid w:val="002A7995"/>
    <w:rsid w:val="002B0F8C"/>
    <w:rsid w:val="002B1CDF"/>
    <w:rsid w:val="002D559C"/>
    <w:rsid w:val="002E5658"/>
    <w:rsid w:val="002F05AF"/>
    <w:rsid w:val="002F22C7"/>
    <w:rsid w:val="0031158C"/>
    <w:rsid w:val="00315655"/>
    <w:rsid w:val="0032159D"/>
    <w:rsid w:val="00333796"/>
    <w:rsid w:val="00337ED7"/>
    <w:rsid w:val="00344EF8"/>
    <w:rsid w:val="00345CD5"/>
    <w:rsid w:val="00350D3F"/>
    <w:rsid w:val="00351524"/>
    <w:rsid w:val="00351A00"/>
    <w:rsid w:val="003572DA"/>
    <w:rsid w:val="003576EF"/>
    <w:rsid w:val="0036548A"/>
    <w:rsid w:val="003725D2"/>
    <w:rsid w:val="00375421"/>
    <w:rsid w:val="00381359"/>
    <w:rsid w:val="00391B85"/>
    <w:rsid w:val="00392988"/>
    <w:rsid w:val="00393CF0"/>
    <w:rsid w:val="003A22E5"/>
    <w:rsid w:val="003B4775"/>
    <w:rsid w:val="003E7FA0"/>
    <w:rsid w:val="003F0381"/>
    <w:rsid w:val="00400757"/>
    <w:rsid w:val="00410E87"/>
    <w:rsid w:val="00422E6E"/>
    <w:rsid w:val="0043571C"/>
    <w:rsid w:val="00437A83"/>
    <w:rsid w:val="00441C54"/>
    <w:rsid w:val="004550ED"/>
    <w:rsid w:val="00462965"/>
    <w:rsid w:val="00462B03"/>
    <w:rsid w:val="00474F27"/>
    <w:rsid w:val="004752DA"/>
    <w:rsid w:val="004802D5"/>
    <w:rsid w:val="0048083E"/>
    <w:rsid w:val="00482048"/>
    <w:rsid w:val="004832E5"/>
    <w:rsid w:val="0048611A"/>
    <w:rsid w:val="004904B1"/>
    <w:rsid w:val="004962C8"/>
    <w:rsid w:val="004A17DF"/>
    <w:rsid w:val="004A750C"/>
    <w:rsid w:val="004B4B5A"/>
    <w:rsid w:val="004C2413"/>
    <w:rsid w:val="004C3FEE"/>
    <w:rsid w:val="004D6EB0"/>
    <w:rsid w:val="004D7C4D"/>
    <w:rsid w:val="004E67C0"/>
    <w:rsid w:val="004E7625"/>
    <w:rsid w:val="004E7C2F"/>
    <w:rsid w:val="005019CA"/>
    <w:rsid w:val="005022DA"/>
    <w:rsid w:val="005104D7"/>
    <w:rsid w:val="00513556"/>
    <w:rsid w:val="0052215B"/>
    <w:rsid w:val="005302EA"/>
    <w:rsid w:val="005461B6"/>
    <w:rsid w:val="005603AE"/>
    <w:rsid w:val="0056200A"/>
    <w:rsid w:val="00564D2E"/>
    <w:rsid w:val="00566EA1"/>
    <w:rsid w:val="00581FE9"/>
    <w:rsid w:val="0058427C"/>
    <w:rsid w:val="00587B21"/>
    <w:rsid w:val="005957B8"/>
    <w:rsid w:val="005B0998"/>
    <w:rsid w:val="005B5D53"/>
    <w:rsid w:val="005C366F"/>
    <w:rsid w:val="005C7F55"/>
    <w:rsid w:val="005D50E7"/>
    <w:rsid w:val="005D64B8"/>
    <w:rsid w:val="005D6F67"/>
    <w:rsid w:val="005E0865"/>
    <w:rsid w:val="005F40BC"/>
    <w:rsid w:val="005F715E"/>
    <w:rsid w:val="006033BC"/>
    <w:rsid w:val="00603DFA"/>
    <w:rsid w:val="00606CF7"/>
    <w:rsid w:val="00613101"/>
    <w:rsid w:val="006131B0"/>
    <w:rsid w:val="00614C73"/>
    <w:rsid w:val="00617CDD"/>
    <w:rsid w:val="00626654"/>
    <w:rsid w:val="0065255C"/>
    <w:rsid w:val="00652672"/>
    <w:rsid w:val="00660DCC"/>
    <w:rsid w:val="00665CD1"/>
    <w:rsid w:val="00686F71"/>
    <w:rsid w:val="00692E27"/>
    <w:rsid w:val="006A7C14"/>
    <w:rsid w:val="006B69CE"/>
    <w:rsid w:val="006B7AEA"/>
    <w:rsid w:val="006D0DD2"/>
    <w:rsid w:val="006D238A"/>
    <w:rsid w:val="006D718C"/>
    <w:rsid w:val="006D74BE"/>
    <w:rsid w:val="006E30A3"/>
    <w:rsid w:val="006F306C"/>
    <w:rsid w:val="007109A0"/>
    <w:rsid w:val="0071721A"/>
    <w:rsid w:val="00717D79"/>
    <w:rsid w:val="007242F1"/>
    <w:rsid w:val="00727FBD"/>
    <w:rsid w:val="00731470"/>
    <w:rsid w:val="007334B2"/>
    <w:rsid w:val="007368AF"/>
    <w:rsid w:val="00742887"/>
    <w:rsid w:val="00743811"/>
    <w:rsid w:val="00746055"/>
    <w:rsid w:val="00746578"/>
    <w:rsid w:val="00752115"/>
    <w:rsid w:val="00755951"/>
    <w:rsid w:val="007657E4"/>
    <w:rsid w:val="00765E42"/>
    <w:rsid w:val="00767FCE"/>
    <w:rsid w:val="0077398C"/>
    <w:rsid w:val="00781291"/>
    <w:rsid w:val="007871D8"/>
    <w:rsid w:val="007977DC"/>
    <w:rsid w:val="007A6860"/>
    <w:rsid w:val="007B7F24"/>
    <w:rsid w:val="007C0709"/>
    <w:rsid w:val="007C48B2"/>
    <w:rsid w:val="007C528F"/>
    <w:rsid w:val="007D7E66"/>
    <w:rsid w:val="007E11BD"/>
    <w:rsid w:val="007E123F"/>
    <w:rsid w:val="007E260D"/>
    <w:rsid w:val="007E4C4F"/>
    <w:rsid w:val="007E5AB9"/>
    <w:rsid w:val="007F1BAD"/>
    <w:rsid w:val="007F239C"/>
    <w:rsid w:val="007F3093"/>
    <w:rsid w:val="007F4C45"/>
    <w:rsid w:val="007F670F"/>
    <w:rsid w:val="007F7521"/>
    <w:rsid w:val="007F78A9"/>
    <w:rsid w:val="008020A7"/>
    <w:rsid w:val="0080258B"/>
    <w:rsid w:val="008039A8"/>
    <w:rsid w:val="008330C2"/>
    <w:rsid w:val="008334A4"/>
    <w:rsid w:val="00835861"/>
    <w:rsid w:val="008425B4"/>
    <w:rsid w:val="00842A0B"/>
    <w:rsid w:val="0084355B"/>
    <w:rsid w:val="008471F3"/>
    <w:rsid w:val="00855EB3"/>
    <w:rsid w:val="00862925"/>
    <w:rsid w:val="0087503A"/>
    <w:rsid w:val="00883BA1"/>
    <w:rsid w:val="00887574"/>
    <w:rsid w:val="008910D5"/>
    <w:rsid w:val="00891A7B"/>
    <w:rsid w:val="008A0827"/>
    <w:rsid w:val="008A6961"/>
    <w:rsid w:val="008C0197"/>
    <w:rsid w:val="008C1F79"/>
    <w:rsid w:val="008C4709"/>
    <w:rsid w:val="008C656E"/>
    <w:rsid w:val="008D0FC8"/>
    <w:rsid w:val="008D7912"/>
    <w:rsid w:val="008E04A4"/>
    <w:rsid w:val="008E1436"/>
    <w:rsid w:val="008E3180"/>
    <w:rsid w:val="008F234F"/>
    <w:rsid w:val="0090004D"/>
    <w:rsid w:val="009013DD"/>
    <w:rsid w:val="009129BD"/>
    <w:rsid w:val="00915F5D"/>
    <w:rsid w:val="009247E5"/>
    <w:rsid w:val="009249A1"/>
    <w:rsid w:val="009271B0"/>
    <w:rsid w:val="00931A3C"/>
    <w:rsid w:val="00942FB0"/>
    <w:rsid w:val="00955413"/>
    <w:rsid w:val="0097693B"/>
    <w:rsid w:val="00980092"/>
    <w:rsid w:val="0098128E"/>
    <w:rsid w:val="00985236"/>
    <w:rsid w:val="00986907"/>
    <w:rsid w:val="009944F7"/>
    <w:rsid w:val="009A19D6"/>
    <w:rsid w:val="009A26F4"/>
    <w:rsid w:val="009A2F91"/>
    <w:rsid w:val="009B0DBB"/>
    <w:rsid w:val="009B2C15"/>
    <w:rsid w:val="009D6AF4"/>
    <w:rsid w:val="009E3D78"/>
    <w:rsid w:val="009F08D7"/>
    <w:rsid w:val="009F44A5"/>
    <w:rsid w:val="009F6C0A"/>
    <w:rsid w:val="009F7A66"/>
    <w:rsid w:val="00A01899"/>
    <w:rsid w:val="00A07C94"/>
    <w:rsid w:val="00A129FB"/>
    <w:rsid w:val="00A21907"/>
    <w:rsid w:val="00A23301"/>
    <w:rsid w:val="00A23571"/>
    <w:rsid w:val="00A27453"/>
    <w:rsid w:val="00A33C3B"/>
    <w:rsid w:val="00A429DB"/>
    <w:rsid w:val="00A45854"/>
    <w:rsid w:val="00A46DBA"/>
    <w:rsid w:val="00A54D72"/>
    <w:rsid w:val="00A60B84"/>
    <w:rsid w:val="00A61791"/>
    <w:rsid w:val="00A62F82"/>
    <w:rsid w:val="00A65D8D"/>
    <w:rsid w:val="00A70522"/>
    <w:rsid w:val="00A72953"/>
    <w:rsid w:val="00A73029"/>
    <w:rsid w:val="00A82681"/>
    <w:rsid w:val="00A82A43"/>
    <w:rsid w:val="00A84A48"/>
    <w:rsid w:val="00A84D1A"/>
    <w:rsid w:val="00A85805"/>
    <w:rsid w:val="00A8614C"/>
    <w:rsid w:val="00A86544"/>
    <w:rsid w:val="00A91BF4"/>
    <w:rsid w:val="00AA048C"/>
    <w:rsid w:val="00AA22D4"/>
    <w:rsid w:val="00AC31F3"/>
    <w:rsid w:val="00AC412D"/>
    <w:rsid w:val="00AC5120"/>
    <w:rsid w:val="00AC5629"/>
    <w:rsid w:val="00AC6843"/>
    <w:rsid w:val="00AC7B59"/>
    <w:rsid w:val="00AD54AB"/>
    <w:rsid w:val="00AE1F9B"/>
    <w:rsid w:val="00AF60D1"/>
    <w:rsid w:val="00B065CB"/>
    <w:rsid w:val="00B12925"/>
    <w:rsid w:val="00B22618"/>
    <w:rsid w:val="00B22E88"/>
    <w:rsid w:val="00B51C43"/>
    <w:rsid w:val="00B5533F"/>
    <w:rsid w:val="00B56174"/>
    <w:rsid w:val="00B57D8E"/>
    <w:rsid w:val="00B630B2"/>
    <w:rsid w:val="00B852BB"/>
    <w:rsid w:val="00B87F5E"/>
    <w:rsid w:val="00B91649"/>
    <w:rsid w:val="00B92FD7"/>
    <w:rsid w:val="00BA1887"/>
    <w:rsid w:val="00BA20C9"/>
    <w:rsid w:val="00BA680A"/>
    <w:rsid w:val="00BB04EA"/>
    <w:rsid w:val="00BB4130"/>
    <w:rsid w:val="00BB4E41"/>
    <w:rsid w:val="00BB4E81"/>
    <w:rsid w:val="00BC3E7D"/>
    <w:rsid w:val="00BE2CFF"/>
    <w:rsid w:val="00BF0948"/>
    <w:rsid w:val="00BF4387"/>
    <w:rsid w:val="00C05DB2"/>
    <w:rsid w:val="00C05E56"/>
    <w:rsid w:val="00C068FC"/>
    <w:rsid w:val="00C15CAA"/>
    <w:rsid w:val="00C20FFB"/>
    <w:rsid w:val="00C273BF"/>
    <w:rsid w:val="00C37EBD"/>
    <w:rsid w:val="00C44CD0"/>
    <w:rsid w:val="00C50FE8"/>
    <w:rsid w:val="00C60B8E"/>
    <w:rsid w:val="00C736D5"/>
    <w:rsid w:val="00C751FF"/>
    <w:rsid w:val="00C812E1"/>
    <w:rsid w:val="00C90673"/>
    <w:rsid w:val="00CB0ACC"/>
    <w:rsid w:val="00CB24FC"/>
    <w:rsid w:val="00CC1694"/>
    <w:rsid w:val="00CC1996"/>
    <w:rsid w:val="00CC7DE3"/>
    <w:rsid w:val="00CD02AF"/>
    <w:rsid w:val="00CD3E80"/>
    <w:rsid w:val="00CD55EB"/>
    <w:rsid w:val="00CE1223"/>
    <w:rsid w:val="00CE15CE"/>
    <w:rsid w:val="00CE1ABB"/>
    <w:rsid w:val="00CF1199"/>
    <w:rsid w:val="00D03428"/>
    <w:rsid w:val="00D175A4"/>
    <w:rsid w:val="00D41204"/>
    <w:rsid w:val="00D542FF"/>
    <w:rsid w:val="00D5621C"/>
    <w:rsid w:val="00D571A7"/>
    <w:rsid w:val="00D65471"/>
    <w:rsid w:val="00D65B50"/>
    <w:rsid w:val="00D710BE"/>
    <w:rsid w:val="00D72523"/>
    <w:rsid w:val="00D73D41"/>
    <w:rsid w:val="00D7464B"/>
    <w:rsid w:val="00D75D42"/>
    <w:rsid w:val="00DA0708"/>
    <w:rsid w:val="00DC4A48"/>
    <w:rsid w:val="00DD026C"/>
    <w:rsid w:val="00DD1E5B"/>
    <w:rsid w:val="00DD2626"/>
    <w:rsid w:val="00DE40D7"/>
    <w:rsid w:val="00DE4248"/>
    <w:rsid w:val="00DF1FA3"/>
    <w:rsid w:val="00DF248D"/>
    <w:rsid w:val="00DF76A0"/>
    <w:rsid w:val="00E04D4F"/>
    <w:rsid w:val="00E056FD"/>
    <w:rsid w:val="00E2173E"/>
    <w:rsid w:val="00E338FE"/>
    <w:rsid w:val="00E3451B"/>
    <w:rsid w:val="00E400E4"/>
    <w:rsid w:val="00E5235E"/>
    <w:rsid w:val="00E60F25"/>
    <w:rsid w:val="00E62582"/>
    <w:rsid w:val="00E82C90"/>
    <w:rsid w:val="00E90347"/>
    <w:rsid w:val="00EA4716"/>
    <w:rsid w:val="00EB0FCD"/>
    <w:rsid w:val="00EB1C92"/>
    <w:rsid w:val="00EB257E"/>
    <w:rsid w:val="00ED3777"/>
    <w:rsid w:val="00ED40BD"/>
    <w:rsid w:val="00ED4153"/>
    <w:rsid w:val="00ED6B70"/>
    <w:rsid w:val="00EE00E2"/>
    <w:rsid w:val="00EE2076"/>
    <w:rsid w:val="00EE4F04"/>
    <w:rsid w:val="00EE4F9B"/>
    <w:rsid w:val="00EF465B"/>
    <w:rsid w:val="00EF6F51"/>
    <w:rsid w:val="00F06BFD"/>
    <w:rsid w:val="00F07817"/>
    <w:rsid w:val="00F1395F"/>
    <w:rsid w:val="00F17490"/>
    <w:rsid w:val="00F17C7D"/>
    <w:rsid w:val="00F2368E"/>
    <w:rsid w:val="00F269CB"/>
    <w:rsid w:val="00F61C50"/>
    <w:rsid w:val="00F621DD"/>
    <w:rsid w:val="00F66078"/>
    <w:rsid w:val="00F742A0"/>
    <w:rsid w:val="00F756B8"/>
    <w:rsid w:val="00F777AC"/>
    <w:rsid w:val="00F77EA6"/>
    <w:rsid w:val="00F849C1"/>
    <w:rsid w:val="00F8715F"/>
    <w:rsid w:val="00FA199F"/>
    <w:rsid w:val="00FA2AAF"/>
    <w:rsid w:val="00FA2DF3"/>
    <w:rsid w:val="00FA46E8"/>
    <w:rsid w:val="00FA7257"/>
    <w:rsid w:val="00FB5B03"/>
    <w:rsid w:val="00FC178C"/>
    <w:rsid w:val="00FC4DA1"/>
    <w:rsid w:val="00FD4454"/>
    <w:rsid w:val="00FD7269"/>
    <w:rsid w:val="00FE2A5F"/>
    <w:rsid w:val="00FF6E93"/>
    <w:rsid w:val="07071B7A"/>
    <w:rsid w:val="0CF82934"/>
    <w:rsid w:val="498063FB"/>
    <w:rsid w:val="5DEAFCC5"/>
    <w:rsid w:val="5F012479"/>
    <w:rsid w:val="617309A5"/>
    <w:rsid w:val="7CE36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00" w:firstLineChars="200"/>
      <w:jc w:val="both"/>
    </w:pPr>
    <w:rPr>
      <w:rFonts w:ascii="Times New Roman" w:hAnsi="Times New Roman" w:eastAsia="仿宋" w:cstheme="minorBidi"/>
      <w:kern w:val="2"/>
      <w:sz w:val="30"/>
      <w:szCs w:val="24"/>
      <w:lang w:val="en-US" w:eastAsia="zh-CN" w:bidi="ar-SA"/>
    </w:rPr>
  </w:style>
  <w:style w:type="paragraph" w:styleId="2">
    <w:name w:val="heading 1"/>
    <w:basedOn w:val="1"/>
    <w:next w:val="1"/>
    <w:link w:val="30"/>
    <w:qFormat/>
    <w:uiPriority w:val="9"/>
    <w:pPr>
      <w:keepNext/>
      <w:keepLines/>
      <w:pageBreakBefore/>
      <w:numPr>
        <w:ilvl w:val="0"/>
        <w:numId w:val="1"/>
      </w:numPr>
      <w:ind w:firstLineChars="0"/>
      <w:jc w:val="center"/>
      <w:outlineLvl w:val="0"/>
    </w:pPr>
    <w:rPr>
      <w:rFonts w:eastAsia="黑体"/>
      <w:b/>
      <w:bCs/>
      <w:kern w:val="44"/>
      <w:sz w:val="36"/>
      <w:szCs w:val="44"/>
    </w:rPr>
  </w:style>
  <w:style w:type="paragraph" w:styleId="3">
    <w:name w:val="heading 2"/>
    <w:basedOn w:val="1"/>
    <w:next w:val="1"/>
    <w:link w:val="31"/>
    <w:unhideWhenUsed/>
    <w:qFormat/>
    <w:uiPriority w:val="9"/>
    <w:pPr>
      <w:keepNext/>
      <w:keepLines/>
      <w:numPr>
        <w:ilvl w:val="1"/>
        <w:numId w:val="1"/>
      </w:numPr>
      <w:spacing w:before="260" w:after="260"/>
      <w:ind w:firstLineChars="0"/>
      <w:outlineLvl w:val="1"/>
    </w:pPr>
    <w:rPr>
      <w:rFonts w:eastAsia="黑体" w:cstheme="majorBidi"/>
      <w:bCs/>
      <w:sz w:val="32"/>
      <w:szCs w:val="32"/>
    </w:rPr>
  </w:style>
  <w:style w:type="paragraph" w:styleId="4">
    <w:name w:val="heading 3"/>
    <w:basedOn w:val="1"/>
    <w:next w:val="1"/>
    <w:link w:val="32"/>
    <w:unhideWhenUsed/>
    <w:qFormat/>
    <w:uiPriority w:val="9"/>
    <w:pPr>
      <w:keepNext/>
      <w:keepLines/>
      <w:numPr>
        <w:ilvl w:val="2"/>
        <w:numId w:val="1"/>
      </w:numPr>
      <w:spacing w:before="260" w:after="260"/>
      <w:ind w:firstLineChars="0"/>
      <w:outlineLvl w:val="2"/>
    </w:pPr>
    <w:rPr>
      <w:rFonts w:eastAsia="黑体"/>
      <w:bCs/>
      <w:sz w:val="32"/>
      <w:szCs w:val="32"/>
    </w:rPr>
  </w:style>
  <w:style w:type="paragraph" w:styleId="5">
    <w:name w:val="heading 4"/>
    <w:basedOn w:val="1"/>
    <w:next w:val="1"/>
    <w:link w:val="33"/>
    <w:unhideWhenUsed/>
    <w:qFormat/>
    <w:uiPriority w:val="9"/>
    <w:pPr>
      <w:keepNext/>
      <w:keepLines/>
      <w:numPr>
        <w:ilvl w:val="3"/>
        <w:numId w:val="1"/>
      </w:numPr>
      <w:spacing w:before="260" w:after="260"/>
      <w:ind w:firstLineChars="0"/>
      <w:outlineLvl w:val="3"/>
    </w:pPr>
    <w:rPr>
      <w:rFonts w:eastAsia="黑体" w:cstheme="majorBidi"/>
      <w:bCs/>
      <w:sz w:val="32"/>
      <w:szCs w:val="28"/>
    </w:rPr>
  </w:style>
  <w:style w:type="paragraph" w:styleId="6">
    <w:name w:val="heading 5"/>
    <w:basedOn w:val="1"/>
    <w:next w:val="1"/>
    <w:link w:val="34"/>
    <w:unhideWhenUsed/>
    <w:qFormat/>
    <w:uiPriority w:val="9"/>
    <w:pPr>
      <w:keepNext/>
      <w:keepLines/>
      <w:numPr>
        <w:ilvl w:val="4"/>
        <w:numId w:val="1"/>
      </w:numPr>
      <w:spacing w:before="260" w:after="260"/>
      <w:ind w:firstLineChars="0"/>
      <w:outlineLvl w:val="4"/>
    </w:pPr>
    <w:rPr>
      <w:rFonts w:eastAsia="黑体"/>
      <w:bCs/>
      <w:sz w:val="32"/>
      <w:szCs w:val="28"/>
    </w:rPr>
  </w:style>
  <w:style w:type="paragraph" w:styleId="7">
    <w:name w:val="heading 6"/>
    <w:basedOn w:val="1"/>
    <w:next w:val="1"/>
    <w:link w:val="35"/>
    <w:unhideWhenUsed/>
    <w:qFormat/>
    <w:uiPriority w:val="9"/>
    <w:pPr>
      <w:keepNext/>
      <w:keepLines/>
      <w:numPr>
        <w:ilvl w:val="5"/>
        <w:numId w:val="1"/>
      </w:numPr>
      <w:spacing w:before="260" w:after="260"/>
      <w:ind w:firstLineChars="0"/>
      <w:outlineLvl w:val="5"/>
    </w:pPr>
    <w:rPr>
      <w:rFonts w:eastAsia="黑体" w:cstheme="majorBidi"/>
      <w:bCs/>
      <w:sz w:val="32"/>
    </w:rPr>
  </w:style>
  <w:style w:type="paragraph" w:styleId="8">
    <w:name w:val="heading 7"/>
    <w:basedOn w:val="1"/>
    <w:next w:val="1"/>
    <w:link w:val="36"/>
    <w:unhideWhenUsed/>
    <w:qFormat/>
    <w:uiPriority w:val="9"/>
    <w:pPr>
      <w:keepNext/>
      <w:keepLines/>
      <w:numPr>
        <w:ilvl w:val="6"/>
        <w:numId w:val="1"/>
      </w:numPr>
      <w:spacing w:before="260" w:after="260"/>
      <w:ind w:firstLineChars="0"/>
      <w:outlineLvl w:val="6"/>
    </w:pPr>
    <w:rPr>
      <w:rFonts w:eastAsia="黑体"/>
      <w:bCs/>
      <w:sz w:val="32"/>
    </w:rPr>
  </w:style>
  <w:style w:type="paragraph" w:styleId="9">
    <w:name w:val="heading 8"/>
    <w:basedOn w:val="1"/>
    <w:next w:val="1"/>
    <w:link w:val="37"/>
    <w:unhideWhenUsed/>
    <w:qFormat/>
    <w:uiPriority w:val="9"/>
    <w:pPr>
      <w:keepNext/>
      <w:keepLines/>
      <w:numPr>
        <w:ilvl w:val="7"/>
        <w:numId w:val="1"/>
      </w:numPr>
      <w:spacing w:before="260" w:after="260"/>
      <w:ind w:firstLineChars="0"/>
      <w:outlineLvl w:val="7"/>
    </w:pPr>
    <w:rPr>
      <w:rFonts w:eastAsia="黑体" w:cstheme="majorBidi"/>
      <w:sz w:val="32"/>
    </w:rPr>
  </w:style>
  <w:style w:type="paragraph" w:styleId="10">
    <w:name w:val="heading 9"/>
    <w:basedOn w:val="1"/>
    <w:next w:val="1"/>
    <w:link w:val="38"/>
    <w:unhideWhenUsed/>
    <w:qFormat/>
    <w:uiPriority w:val="9"/>
    <w:pPr>
      <w:keepNext/>
      <w:keepLines/>
      <w:numPr>
        <w:ilvl w:val="8"/>
        <w:numId w:val="1"/>
      </w:numPr>
      <w:spacing w:before="260" w:after="260"/>
      <w:ind w:firstLineChars="0"/>
      <w:outlineLvl w:val="8"/>
    </w:pPr>
    <w:rPr>
      <w:rFonts w:eastAsia="黑体" w:asciiTheme="majorHAnsi" w:hAnsiTheme="majorHAnsi" w:cstheme="majorBidi"/>
      <w:sz w:val="32"/>
      <w:szCs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35"/>
    <w:pPr>
      <w:ind w:firstLine="0" w:firstLineChars="0"/>
      <w:jc w:val="center"/>
    </w:pPr>
    <w:rPr>
      <w:rFonts w:eastAsia="黑体" w:cstheme="majorBidi"/>
      <w:szCs w:val="20"/>
    </w:rPr>
  </w:style>
  <w:style w:type="paragraph" w:styleId="12">
    <w:name w:val="annotation text"/>
    <w:basedOn w:val="1"/>
    <w:link w:val="46"/>
    <w:semiHidden/>
    <w:unhideWhenUsed/>
    <w:qFormat/>
    <w:uiPriority w:val="99"/>
    <w:pPr>
      <w:jc w:val="left"/>
    </w:pPr>
  </w:style>
  <w:style w:type="paragraph" w:styleId="13">
    <w:name w:val="Body Text"/>
    <w:basedOn w:val="1"/>
    <w:link w:val="52"/>
    <w:semiHidden/>
    <w:qFormat/>
    <w:uiPriority w:val="0"/>
    <w:pPr>
      <w:widowControl/>
      <w:kinsoku w:val="0"/>
      <w:autoSpaceDE w:val="0"/>
      <w:autoSpaceDN w:val="0"/>
      <w:adjustRightInd w:val="0"/>
      <w:snapToGrid w:val="0"/>
      <w:spacing w:line="240" w:lineRule="auto"/>
      <w:ind w:firstLine="0" w:firstLineChars="0"/>
      <w:jc w:val="left"/>
      <w:textAlignment w:val="baseline"/>
    </w:pPr>
    <w:rPr>
      <w:rFonts w:ascii="仿宋_GB2312" w:hAnsi="仿宋_GB2312" w:eastAsia="仿宋_GB2312" w:cs="仿宋_GB2312"/>
      <w:snapToGrid w:val="0"/>
      <w:color w:val="000000"/>
      <w:kern w:val="0"/>
      <w:szCs w:val="30"/>
      <w:lang w:eastAsia="en-US"/>
    </w:rPr>
  </w:style>
  <w:style w:type="paragraph" w:styleId="14">
    <w:name w:val="toc 3"/>
    <w:basedOn w:val="1"/>
    <w:next w:val="1"/>
    <w:unhideWhenUsed/>
    <w:qFormat/>
    <w:uiPriority w:val="39"/>
    <w:pPr>
      <w:ind w:left="840" w:leftChars="400"/>
    </w:pPr>
  </w:style>
  <w:style w:type="paragraph" w:styleId="15">
    <w:name w:val="Date"/>
    <w:basedOn w:val="1"/>
    <w:next w:val="1"/>
    <w:link w:val="54"/>
    <w:semiHidden/>
    <w:unhideWhenUsed/>
    <w:qFormat/>
    <w:uiPriority w:val="99"/>
    <w:pPr>
      <w:ind w:left="100" w:leftChars="2500"/>
    </w:pPr>
  </w:style>
  <w:style w:type="paragraph" w:styleId="16">
    <w:name w:val="footer"/>
    <w:basedOn w:val="1"/>
    <w:link w:val="27"/>
    <w:unhideWhenUsed/>
    <w:qFormat/>
    <w:uiPriority w:val="99"/>
    <w:pPr>
      <w:tabs>
        <w:tab w:val="center" w:pos="4153"/>
        <w:tab w:val="right" w:pos="8306"/>
      </w:tabs>
      <w:snapToGrid w:val="0"/>
      <w:spacing w:line="240" w:lineRule="auto"/>
      <w:ind w:firstLine="0" w:firstLineChars="0"/>
      <w:jc w:val="center"/>
    </w:pPr>
    <w:rPr>
      <w:sz w:val="18"/>
      <w:szCs w:val="18"/>
    </w:rPr>
  </w:style>
  <w:style w:type="paragraph" w:styleId="17">
    <w:name w:val="header"/>
    <w:link w:val="26"/>
    <w:unhideWhenUsed/>
    <w:qFormat/>
    <w:uiPriority w:val="99"/>
    <w:pPr>
      <w:tabs>
        <w:tab w:val="center" w:pos="4153"/>
        <w:tab w:val="right" w:pos="8306"/>
      </w:tabs>
      <w:snapToGrid w:val="0"/>
      <w:jc w:val="center"/>
    </w:pPr>
    <w:rPr>
      <w:rFonts w:ascii="Times New Roman" w:hAnsi="Times New Roman" w:eastAsia="宋体" w:cstheme="minorBidi"/>
      <w:kern w:val="2"/>
      <w:sz w:val="18"/>
      <w:szCs w:val="18"/>
      <w:lang w:val="en-US" w:eastAsia="zh-CN" w:bidi="ar-SA"/>
    </w:rPr>
  </w:style>
  <w:style w:type="paragraph" w:styleId="18">
    <w:name w:val="toc 1"/>
    <w:basedOn w:val="1"/>
    <w:next w:val="1"/>
    <w:unhideWhenUsed/>
    <w:qFormat/>
    <w:uiPriority w:val="39"/>
  </w:style>
  <w:style w:type="paragraph" w:styleId="19">
    <w:name w:val="toc 2"/>
    <w:basedOn w:val="1"/>
    <w:next w:val="1"/>
    <w:unhideWhenUsed/>
    <w:qFormat/>
    <w:uiPriority w:val="39"/>
    <w:pPr>
      <w:ind w:left="420" w:leftChars="200"/>
    </w:pPr>
  </w:style>
  <w:style w:type="paragraph" w:styleId="20">
    <w:name w:val="annotation subject"/>
    <w:basedOn w:val="12"/>
    <w:next w:val="12"/>
    <w:link w:val="47"/>
    <w:semiHidden/>
    <w:unhideWhenUsed/>
    <w:qFormat/>
    <w:uiPriority w:val="99"/>
    <w:rPr>
      <w:b/>
      <w:bCs/>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styleId="25">
    <w:name w:val="annotation reference"/>
    <w:basedOn w:val="23"/>
    <w:semiHidden/>
    <w:unhideWhenUsed/>
    <w:qFormat/>
    <w:uiPriority w:val="99"/>
    <w:rPr>
      <w:sz w:val="21"/>
      <w:szCs w:val="21"/>
    </w:rPr>
  </w:style>
  <w:style w:type="character" w:customStyle="1" w:styleId="26">
    <w:name w:val="页眉 字符"/>
    <w:basedOn w:val="23"/>
    <w:link w:val="17"/>
    <w:qFormat/>
    <w:uiPriority w:val="99"/>
    <w:rPr>
      <w:sz w:val="18"/>
      <w:szCs w:val="18"/>
    </w:rPr>
  </w:style>
  <w:style w:type="character" w:customStyle="1" w:styleId="27">
    <w:name w:val="页脚 字符"/>
    <w:basedOn w:val="23"/>
    <w:link w:val="16"/>
    <w:qFormat/>
    <w:uiPriority w:val="99"/>
    <w:rPr>
      <w:rFonts w:eastAsia="仿宋"/>
      <w:kern w:val="2"/>
      <w:sz w:val="18"/>
      <w:szCs w:val="18"/>
    </w:rPr>
  </w:style>
  <w:style w:type="paragraph" w:customStyle="1" w:styleId="28">
    <w:name w:val="清除页眉"/>
    <w:link w:val="29"/>
    <w:qFormat/>
    <w:uiPriority w:val="0"/>
    <w:pPr>
      <w:widowControl w:val="0"/>
      <w:spacing w:line="20" w:lineRule="exact"/>
      <w:jc w:val="both"/>
    </w:pPr>
    <w:rPr>
      <w:rFonts w:ascii="Times New Roman" w:hAnsi="Times New Roman" w:eastAsia="宋体" w:cstheme="minorBidi"/>
      <w:kern w:val="2"/>
      <w:sz w:val="18"/>
      <w:szCs w:val="18"/>
      <w:lang w:val="en-US" w:eastAsia="zh-CN" w:bidi="ar-SA"/>
    </w:rPr>
  </w:style>
  <w:style w:type="character" w:customStyle="1" w:styleId="29">
    <w:name w:val="清除页眉 字符"/>
    <w:basedOn w:val="23"/>
    <w:link w:val="28"/>
    <w:qFormat/>
    <w:uiPriority w:val="0"/>
    <w:rPr>
      <w:kern w:val="2"/>
      <w:sz w:val="18"/>
      <w:szCs w:val="18"/>
    </w:rPr>
  </w:style>
  <w:style w:type="character" w:customStyle="1" w:styleId="30">
    <w:name w:val="标题 1 字符"/>
    <w:basedOn w:val="23"/>
    <w:link w:val="2"/>
    <w:qFormat/>
    <w:uiPriority w:val="9"/>
    <w:rPr>
      <w:rFonts w:eastAsia="黑体"/>
      <w:b/>
      <w:bCs/>
      <w:kern w:val="44"/>
      <w:sz w:val="36"/>
      <w:szCs w:val="44"/>
    </w:rPr>
  </w:style>
  <w:style w:type="character" w:customStyle="1" w:styleId="31">
    <w:name w:val="标题 2 字符"/>
    <w:basedOn w:val="23"/>
    <w:link w:val="3"/>
    <w:qFormat/>
    <w:uiPriority w:val="9"/>
    <w:rPr>
      <w:rFonts w:eastAsia="黑体" w:cstheme="majorBidi"/>
      <w:bCs/>
      <w:kern w:val="2"/>
      <w:sz w:val="32"/>
      <w:szCs w:val="32"/>
    </w:rPr>
  </w:style>
  <w:style w:type="character" w:customStyle="1" w:styleId="32">
    <w:name w:val="标题 3 字符"/>
    <w:basedOn w:val="23"/>
    <w:link w:val="4"/>
    <w:qFormat/>
    <w:uiPriority w:val="9"/>
    <w:rPr>
      <w:rFonts w:eastAsia="黑体"/>
      <w:bCs/>
      <w:sz w:val="32"/>
      <w:szCs w:val="32"/>
    </w:rPr>
  </w:style>
  <w:style w:type="character" w:customStyle="1" w:styleId="33">
    <w:name w:val="标题 4 字符"/>
    <w:basedOn w:val="23"/>
    <w:link w:val="5"/>
    <w:qFormat/>
    <w:uiPriority w:val="9"/>
    <w:rPr>
      <w:rFonts w:eastAsia="黑体" w:cstheme="majorBidi"/>
      <w:bCs/>
      <w:sz w:val="32"/>
      <w:szCs w:val="28"/>
    </w:rPr>
  </w:style>
  <w:style w:type="character" w:customStyle="1" w:styleId="34">
    <w:name w:val="标题 5 字符"/>
    <w:basedOn w:val="23"/>
    <w:link w:val="6"/>
    <w:qFormat/>
    <w:uiPriority w:val="9"/>
    <w:rPr>
      <w:rFonts w:eastAsia="黑体"/>
      <w:bCs/>
      <w:sz w:val="32"/>
      <w:szCs w:val="28"/>
    </w:rPr>
  </w:style>
  <w:style w:type="character" w:customStyle="1" w:styleId="35">
    <w:name w:val="标题 6 字符"/>
    <w:basedOn w:val="23"/>
    <w:link w:val="7"/>
    <w:qFormat/>
    <w:uiPriority w:val="9"/>
    <w:rPr>
      <w:rFonts w:eastAsia="黑体" w:cstheme="majorBidi"/>
      <w:bCs/>
      <w:sz w:val="32"/>
    </w:rPr>
  </w:style>
  <w:style w:type="character" w:customStyle="1" w:styleId="36">
    <w:name w:val="标题 7 字符"/>
    <w:basedOn w:val="23"/>
    <w:link w:val="8"/>
    <w:qFormat/>
    <w:uiPriority w:val="9"/>
    <w:rPr>
      <w:rFonts w:eastAsia="黑体"/>
      <w:bCs/>
      <w:sz w:val="32"/>
    </w:rPr>
  </w:style>
  <w:style w:type="character" w:customStyle="1" w:styleId="37">
    <w:name w:val="标题 8 字符"/>
    <w:basedOn w:val="23"/>
    <w:link w:val="9"/>
    <w:qFormat/>
    <w:uiPriority w:val="9"/>
    <w:rPr>
      <w:rFonts w:eastAsia="黑体" w:cstheme="majorBidi"/>
      <w:sz w:val="32"/>
    </w:rPr>
  </w:style>
  <w:style w:type="character" w:customStyle="1" w:styleId="38">
    <w:name w:val="标题 9 字符"/>
    <w:basedOn w:val="23"/>
    <w:link w:val="10"/>
    <w:qFormat/>
    <w:uiPriority w:val="9"/>
    <w:rPr>
      <w:rFonts w:eastAsia="黑体" w:asciiTheme="majorHAnsi" w:hAnsiTheme="majorHAnsi" w:cstheme="majorBidi"/>
      <w:sz w:val="32"/>
      <w:szCs w:val="21"/>
    </w:rPr>
  </w:style>
  <w:style w:type="paragraph" w:customStyle="1" w:styleId="39">
    <w:name w:val="表头"/>
    <w:basedOn w:val="1"/>
    <w:link w:val="40"/>
    <w:qFormat/>
    <w:uiPriority w:val="0"/>
    <w:pPr>
      <w:adjustRightInd w:val="0"/>
      <w:snapToGrid w:val="0"/>
      <w:ind w:firstLine="0" w:firstLineChars="0"/>
      <w:jc w:val="center"/>
    </w:pPr>
    <w:rPr>
      <w:b/>
    </w:rPr>
  </w:style>
  <w:style w:type="character" w:customStyle="1" w:styleId="40">
    <w:name w:val="表头 字符"/>
    <w:basedOn w:val="23"/>
    <w:link w:val="39"/>
    <w:qFormat/>
    <w:uiPriority w:val="0"/>
    <w:rPr>
      <w:b/>
    </w:rPr>
  </w:style>
  <w:style w:type="paragraph" w:customStyle="1" w:styleId="41">
    <w:name w:val="表正文居中"/>
    <w:basedOn w:val="39"/>
    <w:link w:val="42"/>
    <w:qFormat/>
    <w:uiPriority w:val="0"/>
    <w:rPr>
      <w:b w:val="0"/>
    </w:rPr>
  </w:style>
  <w:style w:type="character" w:customStyle="1" w:styleId="42">
    <w:name w:val="表正文居中 字符"/>
    <w:basedOn w:val="40"/>
    <w:link w:val="41"/>
    <w:qFormat/>
    <w:uiPriority w:val="0"/>
    <w:rPr>
      <w:b w:val="0"/>
    </w:rPr>
  </w:style>
  <w:style w:type="paragraph" w:customStyle="1" w:styleId="43">
    <w:name w:val="表正文居左"/>
    <w:basedOn w:val="39"/>
    <w:link w:val="44"/>
    <w:qFormat/>
    <w:uiPriority w:val="0"/>
    <w:pPr>
      <w:jc w:val="left"/>
    </w:pPr>
    <w:rPr>
      <w:b w:val="0"/>
    </w:rPr>
  </w:style>
  <w:style w:type="character" w:customStyle="1" w:styleId="44">
    <w:name w:val="表正文居左 字符"/>
    <w:basedOn w:val="42"/>
    <w:link w:val="43"/>
    <w:qFormat/>
    <w:uiPriority w:val="0"/>
  </w:style>
  <w:style w:type="paragraph" w:styleId="45">
    <w:name w:val="No Spacing"/>
    <w:qFormat/>
    <w:uiPriority w:val="1"/>
    <w:pPr>
      <w:ind w:firstLine="200" w:firstLineChars="200"/>
      <w:jc w:val="both"/>
    </w:pPr>
    <w:rPr>
      <w:rFonts w:ascii="Times New Roman" w:hAnsi="Times New Roman" w:eastAsia="宋体" w:cstheme="minorBidi"/>
      <w:kern w:val="2"/>
      <w:sz w:val="24"/>
      <w:szCs w:val="24"/>
      <w:lang w:val="en-US" w:eastAsia="zh-CN" w:bidi="ar-SA"/>
    </w:rPr>
  </w:style>
  <w:style w:type="character" w:customStyle="1" w:styleId="46">
    <w:name w:val="批注文字 字符"/>
    <w:basedOn w:val="23"/>
    <w:link w:val="12"/>
    <w:semiHidden/>
    <w:qFormat/>
    <w:uiPriority w:val="99"/>
    <w:rPr>
      <w:rFonts w:eastAsia="仿宋"/>
      <w:sz w:val="30"/>
    </w:rPr>
  </w:style>
  <w:style w:type="character" w:customStyle="1" w:styleId="47">
    <w:name w:val="批注主题 字符"/>
    <w:basedOn w:val="46"/>
    <w:link w:val="20"/>
    <w:semiHidden/>
    <w:qFormat/>
    <w:uiPriority w:val="99"/>
    <w:rPr>
      <w:rFonts w:eastAsia="仿宋"/>
      <w:b/>
      <w:bCs/>
      <w:sz w:val="30"/>
    </w:rPr>
  </w:style>
  <w:style w:type="paragraph" w:customStyle="1" w:styleId="48">
    <w:name w:val="TOC 标题1"/>
    <w:basedOn w:val="2"/>
    <w:next w:val="1"/>
    <w:unhideWhenUsed/>
    <w:qFormat/>
    <w:uiPriority w:val="39"/>
    <w:pPr>
      <w:pageBreakBefore w:val="0"/>
      <w:numPr>
        <w:numId w:val="0"/>
      </w:numPr>
      <w:spacing w:before="24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49">
    <w:name w:val="修订1"/>
    <w:hidden/>
    <w:semiHidden/>
    <w:qFormat/>
    <w:uiPriority w:val="99"/>
    <w:rPr>
      <w:rFonts w:ascii="Times New Roman" w:hAnsi="Times New Roman" w:eastAsia="仿宋" w:cstheme="minorBidi"/>
      <w:kern w:val="2"/>
      <w:sz w:val="30"/>
      <w:szCs w:val="24"/>
      <w:lang w:val="en-US" w:eastAsia="zh-CN" w:bidi="ar-SA"/>
    </w:rPr>
  </w:style>
  <w:style w:type="paragraph" w:styleId="50">
    <w:name w:val="List Paragraph"/>
    <w:basedOn w:val="1"/>
    <w:qFormat/>
    <w:uiPriority w:val="34"/>
    <w:pPr>
      <w:numPr>
        <w:ilvl w:val="0"/>
        <w:numId w:val="2"/>
      </w:numPr>
      <w:ind w:firstLineChars="0"/>
    </w:pPr>
  </w:style>
  <w:style w:type="paragraph" w:customStyle="1" w:styleId="51">
    <w:name w:val="修订2"/>
    <w:hidden/>
    <w:unhideWhenUsed/>
    <w:qFormat/>
    <w:uiPriority w:val="99"/>
    <w:rPr>
      <w:rFonts w:ascii="Times New Roman" w:hAnsi="Times New Roman" w:eastAsia="仿宋" w:cstheme="minorBidi"/>
      <w:kern w:val="2"/>
      <w:sz w:val="30"/>
      <w:szCs w:val="24"/>
      <w:lang w:val="en-US" w:eastAsia="zh-CN" w:bidi="ar-SA"/>
    </w:rPr>
  </w:style>
  <w:style w:type="character" w:customStyle="1" w:styleId="52">
    <w:name w:val="正文文本 字符"/>
    <w:basedOn w:val="23"/>
    <w:link w:val="13"/>
    <w:semiHidden/>
    <w:qFormat/>
    <w:uiPriority w:val="0"/>
    <w:rPr>
      <w:rFonts w:ascii="仿宋_GB2312" w:hAnsi="仿宋_GB2312" w:eastAsia="仿宋_GB2312" w:cs="仿宋_GB2312"/>
      <w:snapToGrid w:val="0"/>
      <w:color w:val="000000"/>
      <w:sz w:val="30"/>
      <w:szCs w:val="30"/>
      <w:lang w:eastAsia="en-US"/>
    </w:rPr>
  </w:style>
  <w:style w:type="paragraph" w:customStyle="1" w:styleId="53">
    <w:name w:val="TOC 标题2"/>
    <w:basedOn w:val="2"/>
    <w:next w:val="1"/>
    <w:unhideWhenUsed/>
    <w:qFormat/>
    <w:uiPriority w:val="39"/>
    <w:pPr>
      <w:pageBreakBefore w:val="0"/>
      <w:widowControl/>
      <w:numPr>
        <w:numId w:val="0"/>
      </w:numPr>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54">
    <w:name w:val="日期 字符"/>
    <w:basedOn w:val="23"/>
    <w:link w:val="15"/>
    <w:semiHidden/>
    <w:qFormat/>
    <w:uiPriority w:val="99"/>
    <w:rPr>
      <w:rFonts w:eastAsia="仿宋"/>
      <w:kern w:val="2"/>
      <w:sz w:val="3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25534</Words>
  <Characters>27641</Characters>
  <Lines>241</Lines>
  <Paragraphs>68</Paragraphs>
  <TotalTime>2</TotalTime>
  <ScaleCrop>false</ScaleCrop>
  <LinksUpToDate>false</LinksUpToDate>
  <CharactersWithSpaces>28028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2024-02-08T11:58:00Z</dcterms:created>
  <dc:creator>2547841959@qq.com</dc:creator>
  <cp:lastModifiedBy>kylin</cp:lastModifiedBy>
  <cp:lastPrinted>2024-11-15T11:41:00Z</cp:lastPrinted>
  <dcterms:modified xsi:type="dcterms:W3CDTF">2025-01-13T10:13:48Z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E0F826EC8D6D411BB4D920D08950B6AD_13</vt:lpwstr>
  </property>
</Properties>
</file>