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65" w:rsidRDefault="005D1D08">
      <w:pPr>
        <w:pStyle w:val="a6"/>
        <w:widowControl/>
        <w:spacing w:beforeAutospacing="0" w:afterAutospacing="0"/>
        <w:ind w:firstLineChars="0" w:firstLine="0"/>
        <w:jc w:val="both"/>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附</w:t>
      </w:r>
      <w:r>
        <w:rPr>
          <w:rFonts w:ascii="黑体" w:eastAsia="黑体" w:hAnsi="黑体" w:cs="黑体" w:hint="eastAsia"/>
          <w:color w:val="000000"/>
          <w:sz w:val="32"/>
          <w:szCs w:val="32"/>
        </w:rPr>
        <w:t>件</w:t>
      </w:r>
    </w:p>
    <w:p w:rsidR="00770065" w:rsidRDefault="005D1D08">
      <w:pPr>
        <w:pStyle w:val="a6"/>
        <w:widowControl/>
        <w:spacing w:beforeAutospacing="0" w:afterAutospacing="0" w:line="240" w:lineRule="auto"/>
        <w:ind w:firstLineChars="0" w:firstLine="0"/>
        <w:jc w:val="center"/>
        <w:rPr>
          <w:rFonts w:ascii="方正小标宋简体" w:eastAsia="方正小标宋简体" w:hAnsi="黑体" w:cs="黑体"/>
          <w:color w:val="000000"/>
          <w:sz w:val="32"/>
          <w:szCs w:val="32"/>
        </w:rPr>
      </w:pPr>
      <w:r>
        <w:rPr>
          <w:rFonts w:ascii="方正小标宋简体" w:eastAsia="方正小标宋简体" w:hAnsi="仿宋_GB2312" w:cs="仿宋_GB2312" w:hint="eastAsia"/>
          <w:color w:val="000000"/>
          <w:sz w:val="44"/>
          <w:szCs w:val="44"/>
        </w:rPr>
        <w:t>法治建设工作</w:t>
      </w:r>
      <w:proofErr w:type="gramStart"/>
      <w:r>
        <w:rPr>
          <w:rFonts w:ascii="方正小标宋简体" w:eastAsia="方正小标宋简体" w:hAnsi="仿宋_GB2312" w:cs="仿宋_GB2312" w:hint="eastAsia"/>
          <w:color w:val="000000"/>
          <w:sz w:val="44"/>
          <w:szCs w:val="44"/>
        </w:rPr>
        <w:t>任务台</w:t>
      </w:r>
      <w:proofErr w:type="gramEnd"/>
      <w:r>
        <w:rPr>
          <w:rFonts w:ascii="方正小标宋简体" w:eastAsia="方正小标宋简体" w:hAnsi="仿宋_GB2312" w:cs="仿宋_GB2312" w:hint="eastAsia"/>
          <w:color w:val="000000"/>
          <w:sz w:val="44"/>
          <w:szCs w:val="44"/>
        </w:rPr>
        <w:t>账</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417"/>
        <w:gridCol w:w="850"/>
        <w:gridCol w:w="6950"/>
        <w:gridCol w:w="1531"/>
        <w:gridCol w:w="2031"/>
      </w:tblGrid>
      <w:tr w:rsidR="00770065">
        <w:trPr>
          <w:cantSplit/>
          <w:trHeight w:val="567"/>
          <w:tblHeader/>
          <w:jc w:val="center"/>
        </w:trPr>
        <w:tc>
          <w:tcPr>
            <w:tcW w:w="1401" w:type="dxa"/>
            <w:shd w:val="clear" w:color="auto" w:fill="auto"/>
            <w:vAlign w:val="center"/>
          </w:tcPr>
          <w:p w:rsidR="00770065" w:rsidRDefault="005D1D08">
            <w:pPr>
              <w:widowControl/>
              <w:spacing w:line="360" w:lineRule="exact"/>
              <w:ind w:firstLineChars="0" w:firstLine="0"/>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主要任务</w:t>
            </w:r>
          </w:p>
        </w:tc>
        <w:tc>
          <w:tcPr>
            <w:tcW w:w="1417" w:type="dxa"/>
            <w:shd w:val="clear" w:color="auto" w:fill="auto"/>
            <w:vAlign w:val="center"/>
          </w:tcPr>
          <w:p w:rsidR="00770065" w:rsidRDefault="005D1D08">
            <w:pPr>
              <w:widowControl/>
              <w:spacing w:line="360" w:lineRule="exact"/>
              <w:ind w:firstLineChars="0" w:firstLine="0"/>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主要措施</w:t>
            </w:r>
          </w:p>
        </w:tc>
        <w:tc>
          <w:tcPr>
            <w:tcW w:w="850" w:type="dxa"/>
            <w:shd w:val="clear" w:color="auto" w:fill="auto"/>
            <w:vAlign w:val="center"/>
          </w:tcPr>
          <w:p w:rsidR="00770065" w:rsidRDefault="005D1D08">
            <w:pPr>
              <w:widowControl/>
              <w:spacing w:line="360" w:lineRule="exact"/>
              <w:ind w:firstLineChars="0" w:firstLine="0"/>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序号</w:t>
            </w:r>
          </w:p>
        </w:tc>
        <w:tc>
          <w:tcPr>
            <w:tcW w:w="6951" w:type="dxa"/>
            <w:shd w:val="clear" w:color="auto" w:fill="auto"/>
            <w:vAlign w:val="center"/>
          </w:tcPr>
          <w:p w:rsidR="00770065" w:rsidRDefault="005D1D08">
            <w:pPr>
              <w:widowControl/>
              <w:spacing w:line="360" w:lineRule="exact"/>
              <w:ind w:firstLineChars="0" w:firstLine="0"/>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具体举措</w:t>
            </w:r>
          </w:p>
        </w:tc>
        <w:tc>
          <w:tcPr>
            <w:tcW w:w="1531" w:type="dxa"/>
            <w:shd w:val="clear" w:color="auto" w:fill="auto"/>
            <w:vAlign w:val="center"/>
          </w:tcPr>
          <w:p w:rsidR="00770065" w:rsidRDefault="005D1D08">
            <w:pPr>
              <w:widowControl/>
              <w:spacing w:line="360" w:lineRule="exact"/>
              <w:ind w:firstLineChars="0" w:firstLine="0"/>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完成时限</w:t>
            </w:r>
          </w:p>
        </w:tc>
        <w:tc>
          <w:tcPr>
            <w:tcW w:w="2031" w:type="dxa"/>
            <w:shd w:val="clear" w:color="auto" w:fill="auto"/>
            <w:vAlign w:val="center"/>
          </w:tcPr>
          <w:p w:rsidR="00770065" w:rsidRDefault="005D1D08">
            <w:pPr>
              <w:widowControl/>
              <w:spacing w:line="360" w:lineRule="exact"/>
              <w:ind w:firstLineChars="0" w:firstLine="0"/>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责任单位</w:t>
            </w:r>
          </w:p>
        </w:tc>
      </w:tr>
      <w:tr w:rsidR="00770065">
        <w:trPr>
          <w:cantSplit/>
          <w:trHeight w:val="1024"/>
          <w:jc w:val="center"/>
        </w:trPr>
        <w:tc>
          <w:tcPr>
            <w:tcW w:w="1401"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一、严格行政执法，形成高压严管态势</w:t>
            </w: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加大安全生产、房地产领域执法力度</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相关处室要严格落实行业监管主体责任，制定专项方案，开展房屋市政工程、燃气、居民自建房安全，房地产市场等专项执法行动。</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建管处、城建处、房产处、城管执法局</w:t>
            </w:r>
          </w:p>
        </w:tc>
      </w:tr>
      <w:tr w:rsidR="00770065">
        <w:trPr>
          <w:cantSplit/>
          <w:trHeight w:val="1110"/>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采用省级直接检查、组织市州检查等方式进行全面检查，重点检查是否存在安全生产主体责任不落实、违法违规建设和生产经营，超资质开发、未批先售、抽逃资金等违法违规行为，并依法依规进行处理。</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建管处、城建处、房产处、城管执法局</w:t>
            </w:r>
          </w:p>
        </w:tc>
      </w:tr>
      <w:tr w:rsidR="00770065">
        <w:trPr>
          <w:cantSplit/>
          <w:trHeight w:val="1410"/>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相关处室要依法严格履行暂扣安全生产许可证、吊销企业资质、公布不良行为记录等省级职权，每月调度市州执法检查及处罚情况，每季度</w:t>
            </w:r>
            <w:proofErr w:type="gramStart"/>
            <w:r>
              <w:rPr>
                <w:rFonts w:ascii="宋体" w:eastAsia="宋体" w:hAnsi="宋体" w:cs="仿宋_GB2312" w:hint="eastAsia"/>
                <w:color w:val="000000"/>
                <w:kern w:val="0"/>
                <w:sz w:val="21"/>
                <w:szCs w:val="21"/>
              </w:rPr>
              <w:t>向法规</w:t>
            </w:r>
            <w:proofErr w:type="gramEnd"/>
            <w:r>
              <w:rPr>
                <w:rFonts w:ascii="宋体" w:eastAsia="宋体" w:hAnsi="宋体" w:cs="仿宋_GB2312" w:hint="eastAsia"/>
                <w:color w:val="000000"/>
                <w:kern w:val="0"/>
                <w:sz w:val="21"/>
                <w:szCs w:val="21"/>
              </w:rPr>
              <w:t>处报送行业违法违规典型案例。</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房产处、建管处、城建处、设计处、监督处、城管执法局、法规处</w:t>
            </w:r>
          </w:p>
        </w:tc>
      </w:tr>
      <w:tr w:rsidR="00770065">
        <w:trPr>
          <w:cantSplit/>
          <w:trHeight w:val="1191"/>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规范行政执法行为</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全面落实行政执法公示、执法全过程记录、重大执法决定法制审核制度。全面推行“双随机、</w:t>
            </w:r>
            <w:proofErr w:type="gramStart"/>
            <w:r>
              <w:rPr>
                <w:rFonts w:ascii="宋体" w:eastAsia="宋体" w:hAnsi="宋体" w:cs="仿宋_GB2312" w:hint="eastAsia"/>
                <w:color w:val="000000"/>
                <w:kern w:val="0"/>
                <w:sz w:val="21"/>
                <w:szCs w:val="21"/>
              </w:rPr>
              <w:t>一</w:t>
            </w:r>
            <w:proofErr w:type="gramEnd"/>
            <w:r>
              <w:rPr>
                <w:rFonts w:ascii="宋体" w:eastAsia="宋体" w:hAnsi="宋体" w:cs="仿宋_GB2312" w:hint="eastAsia"/>
                <w:color w:val="000000"/>
                <w:kern w:val="0"/>
                <w:sz w:val="21"/>
                <w:szCs w:val="21"/>
              </w:rPr>
              <w:t>公开”监管。</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城管执法局牵头，相关业务处室单位按职责落实</w:t>
            </w:r>
          </w:p>
        </w:tc>
      </w:tr>
      <w:tr w:rsidR="00770065">
        <w:trPr>
          <w:cantSplit/>
          <w:trHeight w:val="124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严格实行行政执法人员持证上岗和资格管理制度，未取得执法资格，不得从事执法活动。</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799"/>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6</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健全《住建领域行政处罚裁量权基准》，减少行政处罚自由裁量权。</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城管执法局</w:t>
            </w:r>
          </w:p>
        </w:tc>
      </w:tr>
      <w:tr w:rsidR="00770065">
        <w:trPr>
          <w:cantSplit/>
          <w:trHeight w:val="1247"/>
          <w:jc w:val="center"/>
        </w:trPr>
        <w:tc>
          <w:tcPr>
            <w:tcW w:w="1401" w:type="dxa"/>
            <w:vMerge w:val="restart"/>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lastRenderedPageBreak/>
              <w:t>一、严格行政执法，形成高压严管态势</w:t>
            </w:r>
          </w:p>
        </w:tc>
        <w:tc>
          <w:tcPr>
            <w:tcW w:w="1417" w:type="dxa"/>
            <w:vMerge w:val="restart"/>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规范行政执法行为</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7</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完善投诉举报和处理机制，对群众投诉、媒体曝光的违法违规行为，做到迅速处置、及时反馈。</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监督处牵头，相关业务处室单位按职责落实</w:t>
            </w:r>
          </w:p>
        </w:tc>
      </w:tr>
      <w:tr w:rsidR="00770065">
        <w:trPr>
          <w:cantSplit/>
          <w:trHeight w:val="1418"/>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8</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坚持“有案必查、查实必罚”要求，对检查发现的各类违法违规行为要严格处理到位。</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房产处、建管处、城建处、设计处、城管执法局、监督处、法规处</w:t>
            </w:r>
          </w:p>
        </w:tc>
      </w:tr>
      <w:tr w:rsidR="00770065">
        <w:trPr>
          <w:cantSplit/>
          <w:trHeight w:val="1361"/>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9</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加强执法衔接，特别是执行集中行政处罚的部门和地区，监督检查单位要将发现的问题线索及时移交处罚单位，处罚单位要依法</w:t>
            </w:r>
            <w:proofErr w:type="gramStart"/>
            <w:r>
              <w:rPr>
                <w:rFonts w:ascii="宋体" w:eastAsia="宋体" w:hAnsi="宋体" w:cs="仿宋_GB2312" w:hint="eastAsia"/>
                <w:color w:val="000000"/>
                <w:kern w:val="0"/>
                <w:sz w:val="21"/>
                <w:szCs w:val="21"/>
              </w:rPr>
              <w:t>作出</w:t>
            </w:r>
            <w:proofErr w:type="gramEnd"/>
            <w:r>
              <w:rPr>
                <w:rFonts w:ascii="宋体" w:eastAsia="宋体" w:hAnsi="宋体" w:cs="仿宋_GB2312" w:hint="eastAsia"/>
                <w:color w:val="000000"/>
                <w:kern w:val="0"/>
                <w:sz w:val="21"/>
                <w:szCs w:val="21"/>
              </w:rPr>
              <w:t>行政处罚并将情况函告线索移交单位。</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房产处、建管处、城建处、设计处、城管执法局、监督处</w:t>
            </w:r>
          </w:p>
        </w:tc>
      </w:tr>
      <w:tr w:rsidR="00770065">
        <w:trPr>
          <w:cantSplit/>
          <w:trHeight w:val="158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加强行政执法监督</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10</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重点对“双随机、</w:t>
            </w:r>
            <w:proofErr w:type="gramStart"/>
            <w:r>
              <w:rPr>
                <w:rFonts w:ascii="宋体" w:eastAsia="宋体" w:hAnsi="宋体" w:cs="仿宋_GB2312" w:hint="eastAsia"/>
                <w:color w:val="000000"/>
                <w:kern w:val="0"/>
                <w:sz w:val="21"/>
                <w:szCs w:val="21"/>
              </w:rPr>
              <w:t>一</w:t>
            </w:r>
            <w:proofErr w:type="gramEnd"/>
            <w:r>
              <w:rPr>
                <w:rFonts w:ascii="宋体" w:eastAsia="宋体" w:hAnsi="宋体" w:cs="仿宋_GB2312" w:hint="eastAsia"/>
                <w:color w:val="000000"/>
                <w:kern w:val="0"/>
                <w:sz w:val="21"/>
                <w:szCs w:val="21"/>
              </w:rPr>
              <w:t>公开”等行政检查的开展情况，投诉举报、信访的办理答复情况，质量安全事故的调查处理情况，以及违法违规行为的处理情况进行执法监督，严查案件“应立未立”、“已立未查”、以行政措施代替行政处罚、未依法记录不良行为等执法“宽松软”问题。</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房产处、建管处、城建处、设计处、城管执法局、监督处、法规处</w:t>
            </w:r>
          </w:p>
        </w:tc>
      </w:tr>
      <w:tr w:rsidR="00770065">
        <w:trPr>
          <w:cantSplit/>
          <w:trHeight w:val="1361"/>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11</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加强层级监督，按行业领域对市州行政执法情况进行考评，重点检查现场检查率、隐患整改率、违法行为处罚率等情况，对工作不力、措施不实的进行重点督导并通报。</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房产处、建管处、城建处、设计处、城管执法局、监督处</w:t>
            </w:r>
          </w:p>
        </w:tc>
      </w:tr>
      <w:tr w:rsidR="00770065">
        <w:trPr>
          <w:cantSplit/>
          <w:trHeight w:val="124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厅本级建立案件抽查制度，对集访、投诉举报等案件按比例进行抽查，发现相关处室存在执法不作为、处罚不到位等未依法行政的行为，提出依法行政建议，并纳入绩效考核。</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w:t>
            </w:r>
          </w:p>
        </w:tc>
      </w:tr>
      <w:tr w:rsidR="00770065">
        <w:trPr>
          <w:cantSplit/>
          <w:trHeight w:val="1417"/>
          <w:jc w:val="center"/>
        </w:trPr>
        <w:tc>
          <w:tcPr>
            <w:tcW w:w="1401" w:type="dxa"/>
            <w:vMerge w:val="restart"/>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lastRenderedPageBreak/>
              <w:t>一、严格行政执法，形成高压严管态势</w:t>
            </w: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建立健全诚信管理机制</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13</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严格落实建筑市场不良行为记录、招标投标信用评价等信用管理制度。</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建管处、监督处、房产处、设计处、城建处、城管执法局、法规处</w:t>
            </w:r>
          </w:p>
        </w:tc>
      </w:tr>
      <w:tr w:rsidR="00770065">
        <w:trPr>
          <w:cantSplit/>
          <w:trHeight w:val="141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14</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对责任主体实施行政处罚，应依法认定责任主体一般或者严重不良行为记录；对发生建筑施工一般及以上质量安全责任事故，经调查已确定责任主体的，应认定责任主体严重不良行为记录。</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建管处、设计处、法规处、城建处、城管执法局</w:t>
            </w:r>
          </w:p>
        </w:tc>
      </w:tr>
      <w:tr w:rsidR="00770065">
        <w:trPr>
          <w:cantSplit/>
          <w:trHeight w:val="141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15</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把不良行为记录及有关诚信情况与招标投标、资质审核、差别化监管等方面挂钩，强化建筑市场与工程现场“两场联动”，实行联合惩戒。</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监督处、法规处、建管处、房产处、城建处、设计处、城管执法局</w:t>
            </w:r>
          </w:p>
        </w:tc>
      </w:tr>
      <w:tr w:rsidR="00770065">
        <w:trPr>
          <w:cantSplit/>
          <w:trHeight w:val="130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16</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研究制定全省住房和城乡建设信用管理办法，推动信用信息共享共用，构建可评价、可量化、可感知的信用评价机制。</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1644"/>
          <w:jc w:val="center"/>
        </w:trPr>
        <w:tc>
          <w:tcPr>
            <w:tcW w:w="1401"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二、加强普法宣传，</w:t>
            </w:r>
            <w:hyperlink r:id="rId7" w:tgtFrame="/home/kylin/文档x/_blank" w:history="1">
              <w:r>
                <w:rPr>
                  <w:rFonts w:ascii="宋体" w:eastAsia="宋体" w:hAnsi="宋体" w:cs="仿宋_GB2312" w:hint="eastAsia"/>
                  <w:color w:val="000000"/>
                  <w:kern w:val="0"/>
                  <w:sz w:val="21"/>
                  <w:szCs w:val="21"/>
                </w:rPr>
                <w:t>全面提升法治</w:t>
              </w:r>
            </w:hyperlink>
            <w:r>
              <w:rPr>
                <w:rFonts w:ascii="宋体" w:eastAsia="宋体" w:hAnsi="宋体" w:cs="仿宋_GB2312" w:hint="eastAsia"/>
                <w:color w:val="000000"/>
                <w:kern w:val="0"/>
                <w:sz w:val="21"/>
                <w:szCs w:val="21"/>
              </w:rPr>
              <w:t>意识</w:t>
            </w: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学习贯彻习近平法治思想</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17</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sz w:val="21"/>
                <w:szCs w:val="21"/>
              </w:rPr>
            </w:pPr>
            <w:r>
              <w:rPr>
                <w:rFonts w:ascii="宋体" w:eastAsia="宋体" w:hAnsi="宋体" w:cs="仿宋_GB2312" w:hint="eastAsia"/>
                <w:color w:val="000000"/>
                <w:sz w:val="21"/>
                <w:szCs w:val="21"/>
              </w:rPr>
              <w:t>要把深入学习宣传贯彻习近平法治思想作为一项长期的重大政治任务，纳入厅党组理论学习中</w:t>
            </w:r>
            <w:r>
              <w:rPr>
                <w:rFonts w:ascii="宋体" w:eastAsia="宋体" w:hAnsi="宋体" w:cs="仿宋_GB2312" w:hint="eastAsia"/>
                <w:color w:val="000000"/>
                <w:sz w:val="21"/>
                <w:szCs w:val="21"/>
              </w:rPr>
              <w:t>心组学习议题，与学习党的二十大精神结合起来，重点学</w:t>
            </w:r>
            <w:proofErr w:type="gramStart"/>
            <w:r>
              <w:rPr>
                <w:rFonts w:ascii="宋体" w:eastAsia="宋体" w:hAnsi="宋体" w:cs="仿宋_GB2312" w:hint="eastAsia"/>
                <w:color w:val="000000"/>
                <w:sz w:val="21"/>
                <w:szCs w:val="21"/>
              </w:rPr>
              <w:t>习习近</w:t>
            </w:r>
            <w:proofErr w:type="gramEnd"/>
            <w:r>
              <w:rPr>
                <w:rFonts w:ascii="宋体" w:eastAsia="宋体" w:hAnsi="宋体" w:cs="仿宋_GB2312" w:hint="eastAsia"/>
                <w:color w:val="000000"/>
                <w:sz w:val="21"/>
                <w:szCs w:val="21"/>
              </w:rPr>
              <w:t>平法治思想关于坚持以人民为中心、严格规范文明执法等内容。</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法规处、机关党委</w:t>
            </w:r>
          </w:p>
        </w:tc>
      </w:tr>
      <w:tr w:rsidR="00770065">
        <w:trPr>
          <w:cantSplit/>
          <w:trHeight w:val="1134"/>
          <w:jc w:val="center"/>
        </w:trPr>
        <w:tc>
          <w:tcPr>
            <w:tcW w:w="1401" w:type="dxa"/>
            <w:vMerge/>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18</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sz w:val="21"/>
                <w:szCs w:val="21"/>
              </w:rPr>
            </w:pPr>
            <w:r>
              <w:rPr>
                <w:rFonts w:ascii="宋体" w:eastAsia="宋体" w:hAnsi="宋体" w:cs="仿宋_GB2312" w:hint="eastAsia"/>
                <w:color w:val="000000"/>
                <w:sz w:val="21"/>
                <w:szCs w:val="21"/>
              </w:rPr>
              <w:t>深入推进《习近平法治思想学习纲要》学习宣传工作，</w:t>
            </w:r>
            <w:proofErr w:type="gramStart"/>
            <w:r>
              <w:rPr>
                <w:rFonts w:ascii="宋体" w:eastAsia="宋体" w:hAnsi="宋体" w:cs="仿宋_GB2312" w:hint="eastAsia"/>
                <w:color w:val="000000"/>
                <w:sz w:val="21"/>
                <w:szCs w:val="21"/>
              </w:rPr>
              <w:t>将习近</w:t>
            </w:r>
            <w:proofErr w:type="gramEnd"/>
            <w:r>
              <w:rPr>
                <w:rFonts w:ascii="宋体" w:eastAsia="宋体" w:hAnsi="宋体" w:cs="仿宋_GB2312" w:hint="eastAsia"/>
                <w:color w:val="000000"/>
                <w:sz w:val="21"/>
                <w:szCs w:val="21"/>
              </w:rPr>
              <w:t>平法治思想作为年度培训重点内容。</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w:t>
            </w:r>
          </w:p>
        </w:tc>
      </w:tr>
      <w:tr w:rsidR="00770065">
        <w:trPr>
          <w:cantSplit/>
          <w:trHeight w:val="1077"/>
          <w:jc w:val="center"/>
        </w:trPr>
        <w:tc>
          <w:tcPr>
            <w:tcW w:w="1401"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lastRenderedPageBreak/>
              <w:t>二、加强普法宣传，</w:t>
            </w:r>
            <w:hyperlink r:id="rId8" w:tgtFrame="/home/kylin/文档x/_blank" w:history="1">
              <w:r>
                <w:rPr>
                  <w:rFonts w:ascii="宋体" w:eastAsia="宋体" w:hAnsi="宋体" w:cs="仿宋_GB2312" w:hint="eastAsia"/>
                  <w:color w:val="000000"/>
                  <w:kern w:val="0"/>
                  <w:sz w:val="21"/>
                  <w:szCs w:val="21"/>
                </w:rPr>
                <w:t>全面提升法治</w:t>
              </w:r>
            </w:hyperlink>
            <w:r>
              <w:rPr>
                <w:rFonts w:ascii="宋体" w:eastAsia="宋体" w:hAnsi="宋体" w:cs="仿宋_GB2312" w:hint="eastAsia"/>
                <w:color w:val="000000"/>
                <w:kern w:val="0"/>
                <w:sz w:val="21"/>
                <w:szCs w:val="21"/>
              </w:rPr>
              <w:t>意识</w:t>
            </w: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推进干部职工学法常态化</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19</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推动厅机关及直属各单位党员干部普遍开展宪法法律教育，举办法治专题培训班或学习讲座，组织普法考试。</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法规处、机关党委、人教处</w:t>
            </w:r>
          </w:p>
        </w:tc>
      </w:tr>
      <w:tr w:rsidR="00770065">
        <w:trPr>
          <w:cantSplit/>
          <w:trHeight w:val="107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20</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发布年度</w:t>
            </w:r>
            <w:proofErr w:type="gramStart"/>
            <w:r>
              <w:rPr>
                <w:rFonts w:ascii="宋体" w:eastAsia="宋体" w:hAnsi="宋体" w:cs="仿宋_GB2312" w:hint="eastAsia"/>
                <w:color w:val="000000"/>
                <w:kern w:val="0"/>
                <w:sz w:val="21"/>
                <w:szCs w:val="21"/>
              </w:rPr>
              <w:t>全省住</w:t>
            </w:r>
            <w:proofErr w:type="gramEnd"/>
            <w:r>
              <w:rPr>
                <w:rFonts w:ascii="宋体" w:eastAsia="宋体" w:hAnsi="宋体" w:cs="仿宋_GB2312" w:hint="eastAsia"/>
                <w:color w:val="000000"/>
                <w:kern w:val="0"/>
                <w:sz w:val="21"/>
                <w:szCs w:val="21"/>
              </w:rPr>
              <w:t>建系统违法</w:t>
            </w:r>
            <w:proofErr w:type="gramStart"/>
            <w:r>
              <w:rPr>
                <w:rFonts w:ascii="宋体" w:eastAsia="宋体" w:hAnsi="宋体" w:cs="仿宋_GB2312" w:hint="eastAsia"/>
                <w:color w:val="000000"/>
                <w:kern w:val="0"/>
                <w:sz w:val="21"/>
                <w:szCs w:val="21"/>
              </w:rPr>
              <w:t>违规十</w:t>
            </w:r>
            <w:proofErr w:type="gramEnd"/>
            <w:r>
              <w:rPr>
                <w:rFonts w:ascii="宋体" w:eastAsia="宋体" w:hAnsi="宋体" w:cs="仿宋_GB2312" w:hint="eastAsia"/>
                <w:color w:val="000000"/>
                <w:kern w:val="0"/>
                <w:sz w:val="21"/>
                <w:szCs w:val="21"/>
              </w:rPr>
              <w:t>大典型案例，开展“以案释法”案例专题学习，促进系统执法规范化建设。</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法规处、城管执法局</w:t>
            </w:r>
          </w:p>
        </w:tc>
      </w:tr>
      <w:tr w:rsidR="00770065">
        <w:trPr>
          <w:cantSplit/>
          <w:trHeight w:val="107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21</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落实应知应会法律法规清单等制度，提升全厅干部运用法治思维和法治方式推动安全生产和防范化解风险工作的能力和水平。</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相关处室单位按职责落实</w:t>
            </w:r>
          </w:p>
        </w:tc>
      </w:tr>
      <w:tr w:rsidR="00770065">
        <w:trPr>
          <w:cantSplit/>
          <w:trHeight w:val="1020"/>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落实“谁执法谁普法”普法责任制</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22</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推动执法与普法相互融合，以严格执法促进普法宣传，增强行业法律意识，推动行业在法治轨道上高质量发展。</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相关处室单位按职责落实</w:t>
            </w:r>
          </w:p>
        </w:tc>
      </w:tr>
      <w:tr w:rsidR="00770065">
        <w:trPr>
          <w:cantSplit/>
          <w:trHeight w:val="1020"/>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23</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制定年度普法计划和重点任务清单，明确各部门的普法责任和重点普法内容。</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3</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相关处室单位按职责落实</w:t>
            </w:r>
          </w:p>
        </w:tc>
      </w:tr>
      <w:tr w:rsidR="00770065">
        <w:trPr>
          <w:cantSplit/>
          <w:trHeight w:val="96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24</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组织修订住房城乡建设领域法律法规汇编。</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w:t>
            </w:r>
          </w:p>
        </w:tc>
      </w:tr>
      <w:tr w:rsidR="00770065">
        <w:trPr>
          <w:cantSplit/>
          <w:trHeight w:val="96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25</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深入宣传《湖南省居民自建房安全管理若干规定》等法律法规。</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房产处、建管处、村镇处</w:t>
            </w:r>
          </w:p>
        </w:tc>
      </w:tr>
      <w:tr w:rsidR="00770065">
        <w:trPr>
          <w:cantSplit/>
          <w:trHeight w:val="124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26</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结合国家宪法日、国家安全日等时间节点，大力组织开展</w:t>
            </w:r>
            <w:proofErr w:type="gramStart"/>
            <w:r>
              <w:rPr>
                <w:rFonts w:ascii="宋体" w:eastAsia="宋体" w:hAnsi="宋体" w:cs="仿宋_GB2312" w:hint="eastAsia"/>
                <w:color w:val="000000"/>
                <w:kern w:val="0"/>
                <w:sz w:val="21"/>
                <w:szCs w:val="21"/>
              </w:rPr>
              <w:t>具有住</w:t>
            </w:r>
            <w:proofErr w:type="gramEnd"/>
            <w:r>
              <w:rPr>
                <w:rFonts w:ascii="宋体" w:eastAsia="宋体" w:hAnsi="宋体" w:cs="仿宋_GB2312" w:hint="eastAsia"/>
                <w:color w:val="000000"/>
                <w:kern w:val="0"/>
                <w:sz w:val="21"/>
                <w:szCs w:val="21"/>
              </w:rPr>
              <w:t>建特色的法治宣传活动，开展送法下乡活动。</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法规处、村镇处</w:t>
            </w:r>
          </w:p>
        </w:tc>
      </w:tr>
      <w:tr w:rsidR="00770065">
        <w:trPr>
          <w:cantSplit/>
          <w:trHeight w:val="794"/>
          <w:jc w:val="center"/>
        </w:trPr>
        <w:tc>
          <w:tcPr>
            <w:tcW w:w="1401"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lastRenderedPageBreak/>
              <w:t>三、强化权力监督，持续规范权力运行</w:t>
            </w: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严格落实重大行政决策程序</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27</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制定</w:t>
            </w:r>
            <w:r>
              <w:rPr>
                <w:rFonts w:ascii="宋体" w:eastAsia="宋体" w:hAnsi="宋体" w:cs="仿宋_GB2312" w:hint="eastAsia"/>
                <w:color w:val="000000"/>
                <w:kern w:val="0"/>
                <w:sz w:val="21"/>
                <w:szCs w:val="21"/>
              </w:rPr>
              <w:t>2023</w:t>
            </w:r>
            <w:r>
              <w:rPr>
                <w:rFonts w:ascii="宋体" w:eastAsia="宋体" w:hAnsi="宋体" w:cs="仿宋_GB2312" w:hint="eastAsia"/>
                <w:color w:val="000000"/>
                <w:kern w:val="0"/>
                <w:sz w:val="21"/>
                <w:szCs w:val="21"/>
              </w:rPr>
              <w:t>年</w:t>
            </w:r>
            <w:proofErr w:type="gramStart"/>
            <w:r>
              <w:rPr>
                <w:rFonts w:ascii="宋体" w:eastAsia="宋体" w:hAnsi="宋体" w:cs="仿宋_GB2312" w:hint="eastAsia"/>
                <w:color w:val="000000"/>
                <w:kern w:val="0"/>
                <w:sz w:val="21"/>
                <w:szCs w:val="21"/>
              </w:rPr>
              <w:t>厅重大</w:t>
            </w:r>
            <w:proofErr w:type="gramEnd"/>
            <w:r>
              <w:rPr>
                <w:rFonts w:ascii="宋体" w:eastAsia="宋体" w:hAnsi="宋体" w:cs="仿宋_GB2312" w:hint="eastAsia"/>
                <w:color w:val="000000"/>
                <w:kern w:val="0"/>
                <w:sz w:val="21"/>
                <w:szCs w:val="21"/>
              </w:rPr>
              <w:t>行政决策事项目录。</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6</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法规处、办公室</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28</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推动重大行政决策事项严格执行公众参与、专家论证、风险评估、合法性审查和集体讨论决定等程序。</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相关业务处室单位</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29</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充分发挥法律顾问和公职律师作用，组织依法参与重大行政决策、化解重大风险隐患等重点工作，并提出法制意见。</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30</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制定《重大行政决策、规范性文件、行政执法和经济合同合法性审查工作规则》，严把合法性审查和政策措施公平竞争审查关。</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6</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依法依规妥善处置行政纠纷</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31</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规范信息公开、投诉举报、信访等事项办理，完善信息公开示范文本。</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6</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办公室、</w:t>
            </w:r>
            <w:r>
              <w:rPr>
                <w:rFonts w:ascii="宋体" w:eastAsia="宋体" w:hAnsi="宋体" w:cs="仿宋_GB2312" w:hint="eastAsia"/>
                <w:kern w:val="0"/>
                <w:sz w:val="21"/>
                <w:szCs w:val="21"/>
              </w:rPr>
              <w:t>监督处、</w:t>
            </w:r>
            <w:r>
              <w:rPr>
                <w:rFonts w:ascii="宋体" w:eastAsia="宋体" w:hAnsi="宋体" w:cs="仿宋_GB2312" w:hint="eastAsia"/>
                <w:color w:val="000000"/>
                <w:kern w:val="0"/>
                <w:sz w:val="21"/>
                <w:szCs w:val="21"/>
              </w:rPr>
              <w:t>法规处</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32</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严格执行法定期限、法定形式等行政程序，结合申请诉求，准确援引法律依据，确保程序合法、有法可依、有章可循。</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相关业务处室单位按职责落实</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33</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找准依法行政突出问题和薄弱环节，向相关处室单位及时发送依法行政工作建议函，规范行政行为，从源头减少行政纠纷的产生。</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加强和规范行政应诉工作</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34</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制定《行政复议和行政应诉工作规则》，明确责任分工、办理流程，形成高效、顺畅的行政复议、行政应诉工作机制。</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6</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35</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认真履行复议诉讼工作职责，按时准确提交答辩材料并参加审理活动，落实行政机关负责人出庭应诉制度，定期组织开展庭审观摩活动，提高行政复议和行政应诉案件办理能力与质量。</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36</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积极支持行政复议机关和人民法院、人民检察院依法受理和审理案件，严格落实行政复议决定、裁判以及意见建议。</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1247"/>
          <w:jc w:val="center"/>
        </w:trPr>
        <w:tc>
          <w:tcPr>
            <w:tcW w:w="1401"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lastRenderedPageBreak/>
              <w:t>四、提高立法质量，夯实法治建设基础</w:t>
            </w: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完成年度重点立法任务</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37</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立足“小切口”，做足“小快灵”，有序推进造价管理立法项目的调研、起草、论证、修改工作，力争年内出台政府投资建设工程造价管理若干规定。</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造价总站、法规处</w:t>
            </w:r>
          </w:p>
        </w:tc>
      </w:tr>
      <w:tr w:rsidR="00770065">
        <w:trPr>
          <w:cantSplit/>
          <w:trHeight w:val="1247"/>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38</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聚焦打好住</w:t>
            </w:r>
            <w:proofErr w:type="gramStart"/>
            <w:r>
              <w:rPr>
                <w:rFonts w:ascii="宋体" w:eastAsia="宋体" w:hAnsi="宋体" w:cs="仿宋_GB2312" w:hint="eastAsia"/>
                <w:color w:val="000000"/>
                <w:kern w:val="0"/>
                <w:sz w:val="21"/>
                <w:szCs w:val="21"/>
              </w:rPr>
              <w:t>建领域</w:t>
            </w:r>
            <w:proofErr w:type="gramEnd"/>
            <w:r w:rsidRPr="00770065">
              <w:rPr>
                <w:rFonts w:hint="eastAsia"/>
              </w:rPr>
              <w:fldChar w:fldCharType="begin"/>
            </w:r>
            <w:r>
              <w:instrText xml:space="preserve"> HYPERLINK "</w:instrText>
            </w:r>
            <w:r>
              <w:instrText>http://www.baidu.com/link?url=L7HvnRY7XTlXmoe6IVKnjD4fZ57yGuaLdMkyqkaNKsu5HQmaDt1TT17_m5dCREnvvigxw726BgAH77DOWR4tLVrU1G3L-RoDPTCSqoNBD7C" \t "/home/kylin/</w:instrText>
            </w:r>
            <w:r>
              <w:instrText>文档</w:instrText>
            </w:r>
            <w:r>
              <w:instrText>\x/_blank"</w:instrText>
            </w:r>
            <w:r w:rsidRPr="00770065">
              <w:rPr>
                <w:rFonts w:hint="eastAsia"/>
              </w:rPr>
              <w:fldChar w:fldCharType="separate"/>
            </w:r>
            <w:r>
              <w:rPr>
                <w:rFonts w:ascii="宋体" w:eastAsia="宋体" w:hAnsi="宋体" w:cs="仿宋_GB2312" w:hint="eastAsia"/>
                <w:color w:val="000000"/>
                <w:kern w:val="0"/>
                <w:sz w:val="21"/>
                <w:szCs w:val="21"/>
              </w:rPr>
              <w:t>安全生产“翻身仗”</w:t>
            </w:r>
            <w:r>
              <w:rPr>
                <w:rFonts w:ascii="宋体" w:eastAsia="宋体" w:hAnsi="宋体" w:cs="仿宋_GB2312" w:hint="eastAsia"/>
                <w:color w:val="000000"/>
                <w:kern w:val="0"/>
                <w:sz w:val="21"/>
                <w:szCs w:val="21"/>
              </w:rPr>
              <w:fldChar w:fldCharType="end"/>
            </w:r>
            <w:r>
              <w:rPr>
                <w:rFonts w:ascii="宋体" w:eastAsia="宋体" w:hAnsi="宋体" w:cs="仿宋_GB2312" w:hint="eastAsia"/>
                <w:color w:val="000000"/>
                <w:kern w:val="0"/>
                <w:sz w:val="21"/>
                <w:szCs w:val="21"/>
              </w:rPr>
              <w:t>，按照已申报的</w:t>
            </w:r>
            <w:r>
              <w:rPr>
                <w:rFonts w:ascii="宋体" w:eastAsia="宋体" w:hAnsi="宋体" w:cs="仿宋_GB2312" w:hint="eastAsia"/>
                <w:color w:val="000000"/>
                <w:kern w:val="0"/>
                <w:sz w:val="21"/>
                <w:szCs w:val="21"/>
              </w:rPr>
              <w:t>2023</w:t>
            </w:r>
            <w:r>
              <w:rPr>
                <w:rFonts w:ascii="宋体" w:eastAsia="宋体" w:hAnsi="宋体" w:cs="仿宋_GB2312" w:hint="eastAsia"/>
                <w:color w:val="000000"/>
                <w:kern w:val="0"/>
                <w:sz w:val="21"/>
                <w:szCs w:val="21"/>
              </w:rPr>
              <w:t>年立法调研计划，组织做好建设工程质量和安全生产条例、燃气条例的立法调研工作，并申报</w:t>
            </w:r>
            <w:r>
              <w:rPr>
                <w:rFonts w:ascii="宋体" w:eastAsia="宋体" w:hAnsi="宋体" w:cs="仿宋_GB2312" w:hint="eastAsia"/>
                <w:color w:val="000000"/>
                <w:kern w:val="0"/>
                <w:sz w:val="21"/>
                <w:szCs w:val="21"/>
              </w:rPr>
              <w:t>2024</w:t>
            </w:r>
            <w:r>
              <w:rPr>
                <w:rFonts w:ascii="宋体" w:eastAsia="宋体" w:hAnsi="宋体" w:cs="仿宋_GB2312" w:hint="eastAsia"/>
                <w:color w:val="000000"/>
                <w:kern w:val="0"/>
                <w:sz w:val="21"/>
                <w:szCs w:val="21"/>
              </w:rPr>
              <w:t>年立法计划。</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建管处、城建处、</w:t>
            </w:r>
            <w:r>
              <w:rPr>
                <w:rFonts w:ascii="宋体" w:eastAsia="宋体" w:hAnsi="宋体" w:cs="仿宋_GB2312" w:hint="eastAsia"/>
                <w:color w:val="000000"/>
                <w:kern w:val="0"/>
                <w:sz w:val="21"/>
                <w:szCs w:val="21"/>
              </w:rPr>
              <w:t>法规处、质安总站</w:t>
            </w:r>
          </w:p>
        </w:tc>
      </w:tr>
      <w:tr w:rsidR="00770065">
        <w:trPr>
          <w:cantSplit/>
          <w:trHeight w:val="1531"/>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加强重要领域立法项目储备</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39</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坚持科学立法、民主立法、依法立法，围绕安全生产、绿色发展、民生保障、历史文化传承等重点领域，开展既有房屋安全管理、传统村落保护、城市绿化、建筑市场等方面立法调研和立法研讨，形成研究成果，做好立法项目储备。</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建管处、科技处、村镇处、设计处、房产处、城建处、质安总站</w:t>
            </w:r>
          </w:p>
        </w:tc>
      </w:tr>
      <w:tr w:rsidR="00770065">
        <w:trPr>
          <w:cantSplit/>
          <w:trHeight w:val="1191"/>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强化行政规范性文件审核和监督管理</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40</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全面落实行政规范性文件合法性审核机制和公平竞争审查制度，未经过合法性审核和公平竞争审查的行政规范性文件一律不得发布。</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1191"/>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41</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严格落实行政规范性文件备案审查制度。</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1020"/>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42</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健全行政规范性文件动态清理工作机制，年内开展集中清理，及时公布继续有效、确认失效、决定废止的行政规范性文件目录。</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相关业务处室单位按职责落实</w:t>
            </w:r>
          </w:p>
        </w:tc>
      </w:tr>
      <w:tr w:rsidR="00770065">
        <w:trPr>
          <w:cantSplit/>
          <w:trHeight w:val="850"/>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43</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编制现行有效的规范性文件汇编。</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w:t>
            </w:r>
          </w:p>
        </w:tc>
      </w:tr>
      <w:tr w:rsidR="00770065">
        <w:trPr>
          <w:cantSplit/>
          <w:trHeight w:val="1020"/>
          <w:jc w:val="center"/>
        </w:trPr>
        <w:tc>
          <w:tcPr>
            <w:tcW w:w="1401"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lastRenderedPageBreak/>
              <w:t>五、深化改革创新，优化法治营商环境</w:t>
            </w: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深化行政审批和政务服务改革</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44</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落实《深化建设工程企业资质管理改革促进建筑业高质量发展的十条措施》，加强检测机构和监理企业资质管理。</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法规处、信息中心</w:t>
            </w:r>
          </w:p>
        </w:tc>
      </w:tr>
      <w:tr w:rsidR="00770065">
        <w:trPr>
          <w:cantSplit/>
          <w:trHeight w:val="1020"/>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45</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加强对市州行政审批的层级指导，逐步统一审批标准、流程和系统。量化资质审查指标，实施清单式、表格式审查，减少自由裁量权。</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法规处、信息中心</w:t>
            </w:r>
          </w:p>
        </w:tc>
      </w:tr>
      <w:tr w:rsidR="00770065">
        <w:trPr>
          <w:cantSplit/>
          <w:trHeight w:val="621"/>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46</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sz w:val="21"/>
                <w:szCs w:val="21"/>
              </w:rPr>
            </w:pPr>
            <w:r>
              <w:rPr>
                <w:rFonts w:ascii="宋体" w:eastAsia="宋体" w:hAnsi="宋体" w:cs="仿宋_GB2312" w:hint="eastAsia"/>
                <w:color w:val="000000"/>
                <w:sz w:val="21"/>
                <w:szCs w:val="21"/>
              </w:rPr>
              <w:t>开展勘察设计、施工、监理、检测资质动态核查。</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设计处、建管处</w:t>
            </w:r>
          </w:p>
        </w:tc>
      </w:tr>
      <w:tr w:rsidR="00770065">
        <w:trPr>
          <w:cantSplit/>
          <w:trHeight w:val="1191"/>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47</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健全政务服务目标体系和制度体系，纵深推进政务服务“三化”和“四减”行动。</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96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48</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开展“走流程”回头看，及时回应解决企业群众反映的突出问题。梳理高频办理事项，及时更新办事指南和常见问题清单。</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法规处牵头，相关业务处室单位按职责落实</w:t>
            </w:r>
          </w:p>
        </w:tc>
      </w:tr>
      <w:tr w:rsidR="00770065">
        <w:trPr>
          <w:cantSplit/>
          <w:trHeight w:val="788"/>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49</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建立健全档案管理制度，设置政务服务档案室，加快推进档案电子化，规范档案管理、收集、整理和保存工作。</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法规处、信息中心</w:t>
            </w:r>
          </w:p>
        </w:tc>
      </w:tr>
      <w:tr w:rsidR="00770065">
        <w:trPr>
          <w:cantSplit/>
          <w:trHeight w:val="1396"/>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深化工程建设项目审批制度改革</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50</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研究制定《湖南省工程建设项目审批工作指南（第五版）》，推进全省工程建设项目审批事项全流程、各环节的审批程序规范化、标准化，并将具有重要地理方位意义的住宅区、楼宇命名（更名）审批纳入审批系统。</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建管处、信息中心</w:t>
            </w:r>
          </w:p>
        </w:tc>
      </w:tr>
      <w:tr w:rsidR="00770065">
        <w:trPr>
          <w:cantSplit/>
          <w:trHeight w:val="1118"/>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51</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全面</w:t>
            </w:r>
            <w:proofErr w:type="gramStart"/>
            <w:r>
              <w:rPr>
                <w:rFonts w:ascii="宋体" w:eastAsia="宋体" w:hAnsi="宋体" w:cs="仿宋_GB2312" w:hint="eastAsia"/>
                <w:color w:val="000000"/>
                <w:sz w:val="21"/>
                <w:szCs w:val="21"/>
              </w:rPr>
              <w:t>优化水</w:t>
            </w:r>
            <w:proofErr w:type="gramEnd"/>
            <w:r>
              <w:rPr>
                <w:rFonts w:ascii="宋体" w:eastAsia="宋体" w:hAnsi="宋体" w:cs="仿宋_GB2312" w:hint="eastAsia"/>
                <w:color w:val="000000"/>
                <w:sz w:val="21"/>
                <w:szCs w:val="21"/>
              </w:rPr>
              <w:t>电气报装接入流程，推行水电气联合办理，深入推行“一站通办”“一网办理”。实现全省</w:t>
            </w:r>
            <w:proofErr w:type="gramStart"/>
            <w:r>
              <w:rPr>
                <w:rFonts w:ascii="宋体" w:eastAsia="宋体" w:hAnsi="宋体" w:cs="仿宋_GB2312" w:hint="eastAsia"/>
                <w:color w:val="000000"/>
                <w:sz w:val="21"/>
                <w:szCs w:val="21"/>
              </w:rPr>
              <w:t>房屋网签交易</w:t>
            </w:r>
            <w:proofErr w:type="gramEnd"/>
            <w:r>
              <w:rPr>
                <w:rFonts w:ascii="宋体" w:eastAsia="宋体" w:hAnsi="宋体" w:cs="仿宋_GB2312" w:hint="eastAsia"/>
                <w:color w:val="000000"/>
                <w:sz w:val="21"/>
                <w:szCs w:val="21"/>
              </w:rPr>
              <w:t>系统、省工程建设项目审批管理系统、省不动产登记平台数据互通。</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建管处、房产处、城建处、信息中心</w:t>
            </w:r>
          </w:p>
        </w:tc>
      </w:tr>
      <w:tr w:rsidR="00770065">
        <w:trPr>
          <w:cantSplit/>
          <w:trHeight w:val="551"/>
          <w:jc w:val="center"/>
        </w:trPr>
        <w:tc>
          <w:tcPr>
            <w:tcW w:w="1401" w:type="dxa"/>
            <w:vMerge w:val="restart"/>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lastRenderedPageBreak/>
              <w:t>五、深化改革创新，优化法治营商环境</w:t>
            </w:r>
          </w:p>
        </w:tc>
        <w:tc>
          <w:tcPr>
            <w:tcW w:w="1417" w:type="dxa"/>
            <w:vMerge w:val="restart"/>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加强招投标市场监管</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52</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持续深化招投标改革，不断完善现行招投标政策制度，努力构建全省统一的招投标市场。</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监督处</w:t>
            </w:r>
          </w:p>
        </w:tc>
      </w:tr>
      <w:tr w:rsidR="00770065">
        <w:trPr>
          <w:cantSplit/>
          <w:trHeight w:val="449"/>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53</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进一步优化平台功能，推进工程建设领域招投标全流程在线办理。</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监督处、信息中心</w:t>
            </w:r>
          </w:p>
        </w:tc>
      </w:tr>
      <w:tr w:rsidR="00770065">
        <w:trPr>
          <w:cantSplit/>
          <w:trHeight w:val="1190"/>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54</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持续规范招投标主体行为，严厉打击工程建设领域恶意竞标等破坏市场经营秩序的违法行为，加强招投标全链条监管，加大标后稽查、专案稽查以及违法违规查处惩戒力度。</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监督处</w:t>
            </w:r>
          </w:p>
        </w:tc>
      </w:tr>
      <w:tr w:rsidR="00770065">
        <w:trPr>
          <w:cantSplit/>
          <w:trHeight w:val="778"/>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加强住房公积金监管服务</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55</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拓展“跨省通办”服务事项数量和覆盖范围，推进政务服务“一网通办”规范化，不断提升住房公积金服务水平。</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公积金处、信息中心</w:t>
            </w:r>
          </w:p>
        </w:tc>
      </w:tr>
      <w:tr w:rsidR="00770065">
        <w:trPr>
          <w:cantSplit/>
          <w:trHeight w:val="141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kern w:val="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sz w:val="21"/>
                <w:szCs w:val="21"/>
              </w:rPr>
            </w:pPr>
            <w:r>
              <w:rPr>
                <w:rFonts w:ascii="宋体" w:eastAsia="宋体" w:hAnsi="宋体" w:cs="仿宋_GB2312"/>
                <w:color w:val="000000"/>
                <w:kern w:val="0"/>
                <w:sz w:val="21"/>
                <w:szCs w:val="21"/>
              </w:rPr>
              <w:t>56</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大力推进信息化建设，强化信息共享，逐步破解全省住房公积金行业协同对接的问题，指导和督促各市州住房公积金中心进一步优化企业办理公积金业务流程，精简申报材料、缩短办理时限、加大宣传服务，提升企业获得感。</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持续坚持</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sz w:val="21"/>
                <w:szCs w:val="21"/>
              </w:rPr>
              <w:t>公积金处、信息中心</w:t>
            </w:r>
          </w:p>
        </w:tc>
      </w:tr>
      <w:tr w:rsidR="00770065">
        <w:trPr>
          <w:cantSplit/>
          <w:trHeight w:val="794"/>
          <w:jc w:val="center"/>
        </w:trPr>
        <w:tc>
          <w:tcPr>
            <w:tcW w:w="1401"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六、压实主体责任，全面推进法治建设</w:t>
            </w:r>
          </w:p>
        </w:tc>
        <w:tc>
          <w:tcPr>
            <w:tcW w:w="1417" w:type="dxa"/>
            <w:vMerge w:val="restart"/>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履行法治建设主体责任和“第一责任人”职责</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sz w:val="21"/>
                <w:szCs w:val="21"/>
              </w:rPr>
            </w:pPr>
            <w:r>
              <w:rPr>
                <w:rFonts w:ascii="宋体" w:eastAsia="宋体" w:hAnsi="宋体" w:cs="仿宋_GB2312"/>
                <w:color w:val="000000"/>
                <w:kern w:val="0"/>
                <w:sz w:val="21"/>
                <w:szCs w:val="21"/>
              </w:rPr>
              <w:t>57</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sz w:val="21"/>
                <w:szCs w:val="21"/>
              </w:rPr>
            </w:pPr>
            <w:r>
              <w:rPr>
                <w:rFonts w:ascii="宋体" w:eastAsia="宋体" w:hAnsi="宋体" w:cs="仿宋_GB2312" w:hint="eastAsia"/>
                <w:color w:val="000000"/>
                <w:sz w:val="21"/>
                <w:szCs w:val="21"/>
              </w:rPr>
              <w:t>厅党组和厅主要负责人听取法治建设专题汇报，召开部署法治建设重点工作专题会议，高效推进法治建设各项</w:t>
            </w:r>
            <w:proofErr w:type="gramStart"/>
            <w:r>
              <w:rPr>
                <w:rFonts w:ascii="宋体" w:eastAsia="宋体" w:hAnsi="宋体" w:cs="仿宋_GB2312" w:hint="eastAsia"/>
                <w:color w:val="000000"/>
                <w:sz w:val="21"/>
                <w:szCs w:val="21"/>
              </w:rPr>
              <w:t>任务落细落实</w:t>
            </w:r>
            <w:proofErr w:type="gramEnd"/>
            <w:r>
              <w:rPr>
                <w:rFonts w:ascii="宋体" w:eastAsia="宋体" w:hAnsi="宋体" w:cs="仿宋_GB2312" w:hint="eastAsia"/>
                <w:color w:val="000000"/>
                <w:sz w:val="21"/>
                <w:szCs w:val="21"/>
              </w:rPr>
              <w:t>。</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法规处</w:t>
            </w:r>
          </w:p>
        </w:tc>
      </w:tr>
      <w:tr w:rsidR="00770065">
        <w:trPr>
          <w:cantSplit/>
          <w:trHeight w:val="794"/>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58</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sz w:val="21"/>
                <w:szCs w:val="21"/>
              </w:rPr>
            </w:pPr>
            <w:r>
              <w:rPr>
                <w:rFonts w:ascii="宋体" w:eastAsia="宋体" w:hAnsi="宋体" w:cs="仿宋_GB2312" w:hint="eastAsia"/>
                <w:color w:val="000000"/>
                <w:sz w:val="21"/>
                <w:szCs w:val="21"/>
              </w:rPr>
              <w:t>实行主要负责人</w:t>
            </w:r>
            <w:proofErr w:type="gramStart"/>
            <w:r>
              <w:rPr>
                <w:rFonts w:ascii="宋体" w:eastAsia="宋体" w:hAnsi="宋体" w:cs="仿宋_GB2312" w:hint="eastAsia"/>
                <w:color w:val="000000"/>
                <w:sz w:val="21"/>
                <w:szCs w:val="21"/>
              </w:rPr>
              <w:t>年度述法制度</w:t>
            </w:r>
            <w:proofErr w:type="gramEnd"/>
            <w:r>
              <w:rPr>
                <w:rFonts w:ascii="宋体" w:eastAsia="宋体" w:hAnsi="宋体" w:cs="仿宋_GB2312" w:hint="eastAsia"/>
                <w:color w:val="000000"/>
                <w:sz w:val="21"/>
                <w:szCs w:val="21"/>
              </w:rPr>
              <w:t>，厅机关各处室、直属各单位主要负责人履行推进法治建设第一责任人职责情况列入年终述职内容。</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人教处牵头，各处室单位按职责落实</w:t>
            </w:r>
          </w:p>
        </w:tc>
      </w:tr>
      <w:tr w:rsidR="00770065">
        <w:trPr>
          <w:cantSplit/>
          <w:trHeight w:val="425"/>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sz w:val="21"/>
                <w:szCs w:val="21"/>
              </w:rPr>
            </w:pPr>
          </w:p>
        </w:tc>
        <w:tc>
          <w:tcPr>
            <w:tcW w:w="1417"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sz w:val="21"/>
                <w:szCs w:val="21"/>
              </w:rPr>
            </w:pP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59</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厅党组向上级部门报告上一年度法治政府建设情况。</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次年</w:t>
            </w:r>
            <w:r>
              <w:rPr>
                <w:rFonts w:ascii="宋体" w:eastAsia="宋体" w:hAnsi="宋体" w:cs="仿宋_GB2312" w:hint="eastAsia"/>
                <w:color w:val="000000"/>
                <w:kern w:val="0"/>
                <w:sz w:val="21"/>
                <w:szCs w:val="21"/>
              </w:rPr>
              <w:t>3</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法规处</w:t>
            </w:r>
          </w:p>
        </w:tc>
      </w:tr>
      <w:tr w:rsidR="00770065">
        <w:trPr>
          <w:cantSplit/>
          <w:trHeight w:val="1192"/>
          <w:jc w:val="center"/>
        </w:trPr>
        <w:tc>
          <w:tcPr>
            <w:tcW w:w="1401" w:type="dxa"/>
            <w:vMerge/>
            <w:shd w:val="clear" w:color="auto" w:fill="auto"/>
            <w:vAlign w:val="center"/>
          </w:tcPr>
          <w:p w:rsidR="00770065" w:rsidRDefault="005D1D08">
            <w:pPr>
              <w:spacing w:line="300" w:lineRule="exact"/>
              <w:ind w:firstLineChars="0" w:firstLine="0"/>
              <w:jc w:val="center"/>
              <w:rPr>
                <w:rFonts w:ascii="宋体" w:eastAsia="宋体" w:hAnsi="宋体" w:cs="仿宋_GB2312"/>
                <w:color w:val="000000"/>
                <w:sz w:val="21"/>
                <w:szCs w:val="21"/>
              </w:rPr>
            </w:pPr>
          </w:p>
        </w:tc>
        <w:tc>
          <w:tcPr>
            <w:tcW w:w="1417"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加强法治建设考核</w:t>
            </w:r>
          </w:p>
        </w:tc>
        <w:tc>
          <w:tcPr>
            <w:tcW w:w="850" w:type="dxa"/>
            <w:shd w:val="clear" w:color="auto" w:fill="auto"/>
            <w:vAlign w:val="center"/>
          </w:tcPr>
          <w:p w:rsidR="00770065" w:rsidRDefault="005D1D08">
            <w:pPr>
              <w:widowControl/>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sz w:val="21"/>
                <w:szCs w:val="21"/>
              </w:rPr>
              <w:t>60</w:t>
            </w:r>
          </w:p>
        </w:tc>
        <w:tc>
          <w:tcPr>
            <w:tcW w:w="6951" w:type="dxa"/>
            <w:shd w:val="clear" w:color="auto" w:fill="auto"/>
            <w:vAlign w:val="center"/>
          </w:tcPr>
          <w:p w:rsidR="00770065" w:rsidRDefault="005D1D08">
            <w:pPr>
              <w:widowControl/>
              <w:spacing w:line="300" w:lineRule="exact"/>
              <w:ind w:firstLineChars="0" w:firstLine="0"/>
              <w:textAlignment w:val="center"/>
              <w:rPr>
                <w:rFonts w:ascii="宋体" w:eastAsia="宋体" w:hAnsi="宋体" w:cs="仿宋_GB2312"/>
                <w:color w:val="000000"/>
                <w:sz w:val="21"/>
                <w:szCs w:val="21"/>
              </w:rPr>
            </w:pPr>
            <w:r>
              <w:rPr>
                <w:rFonts w:ascii="宋体" w:eastAsia="宋体" w:hAnsi="宋体" w:cs="仿宋_GB2312" w:hint="eastAsia"/>
                <w:color w:val="000000"/>
                <w:sz w:val="21"/>
                <w:szCs w:val="21"/>
              </w:rPr>
              <w:t>按照“考在平时、考在日常”要求，建立法治建设工作</w:t>
            </w:r>
            <w:proofErr w:type="gramStart"/>
            <w:r>
              <w:rPr>
                <w:rFonts w:ascii="宋体" w:eastAsia="宋体" w:hAnsi="宋体" w:cs="仿宋_GB2312" w:hint="eastAsia"/>
                <w:color w:val="000000"/>
                <w:sz w:val="21"/>
                <w:szCs w:val="21"/>
              </w:rPr>
              <w:t>任务台</w:t>
            </w:r>
            <w:proofErr w:type="gramEnd"/>
            <w:r>
              <w:rPr>
                <w:rFonts w:ascii="宋体" w:eastAsia="宋体" w:hAnsi="宋体" w:cs="仿宋_GB2312" w:hint="eastAsia"/>
                <w:color w:val="000000"/>
                <w:sz w:val="21"/>
                <w:szCs w:val="21"/>
              </w:rPr>
              <w:t>账，设置客观科学的法治建设考核指标，法治建设工作任务完成情况列入综合绩效评估的重要内容，并强化考核成果运用。</w:t>
            </w:r>
          </w:p>
        </w:tc>
        <w:tc>
          <w:tcPr>
            <w:tcW w:w="15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12</w:t>
            </w:r>
            <w:r>
              <w:rPr>
                <w:rFonts w:ascii="宋体" w:eastAsia="宋体" w:hAnsi="宋体" w:cs="仿宋_GB2312" w:hint="eastAsia"/>
                <w:color w:val="000000"/>
                <w:kern w:val="0"/>
                <w:sz w:val="21"/>
                <w:szCs w:val="21"/>
              </w:rPr>
              <w:t>月底前</w:t>
            </w:r>
          </w:p>
        </w:tc>
        <w:tc>
          <w:tcPr>
            <w:tcW w:w="2031" w:type="dxa"/>
            <w:shd w:val="clear" w:color="auto" w:fill="auto"/>
            <w:vAlign w:val="center"/>
          </w:tcPr>
          <w:p w:rsidR="00770065" w:rsidRDefault="005D1D08">
            <w:pPr>
              <w:widowControl/>
              <w:spacing w:line="300" w:lineRule="exact"/>
              <w:ind w:firstLineChars="0" w:firstLine="0"/>
              <w:jc w:val="center"/>
              <w:textAlignment w:val="center"/>
              <w:rPr>
                <w:rFonts w:ascii="宋体" w:eastAsia="宋体" w:hAnsi="宋体" w:cs="仿宋_GB2312"/>
                <w:color w:val="000000"/>
                <w:sz w:val="21"/>
                <w:szCs w:val="21"/>
              </w:rPr>
            </w:pPr>
            <w:r>
              <w:rPr>
                <w:rFonts w:ascii="宋体" w:eastAsia="宋体" w:hAnsi="宋体" w:cs="仿宋_GB2312" w:hint="eastAsia"/>
                <w:color w:val="000000"/>
                <w:kern w:val="0"/>
                <w:sz w:val="21"/>
                <w:szCs w:val="21"/>
              </w:rPr>
              <w:t>法规处</w:t>
            </w:r>
            <w:r>
              <w:rPr>
                <w:rFonts w:ascii="宋体" w:eastAsia="宋体" w:hAnsi="宋体" w:cs="仿宋_GB2312"/>
                <w:color w:val="000000"/>
                <w:kern w:val="0"/>
                <w:sz w:val="21"/>
                <w:szCs w:val="21"/>
              </w:rPr>
              <w:t>、</w:t>
            </w:r>
            <w:r>
              <w:rPr>
                <w:rFonts w:ascii="宋体" w:eastAsia="宋体" w:hAnsi="宋体" w:cs="仿宋_GB2312" w:hint="eastAsia"/>
                <w:color w:val="000000"/>
                <w:kern w:val="0"/>
                <w:sz w:val="21"/>
                <w:szCs w:val="21"/>
              </w:rPr>
              <w:t>人教处、机关党委</w:t>
            </w:r>
          </w:p>
        </w:tc>
      </w:tr>
    </w:tbl>
    <w:p w:rsidR="00770065" w:rsidRDefault="005D1D08">
      <w:pPr>
        <w:ind w:firstLineChars="0" w:firstLine="0"/>
      </w:pPr>
    </w:p>
    <w:sectPr w:rsidR="00770065" w:rsidSect="007A41B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1134" w:left="1134" w:header="851" w:footer="1134" w:gutter="0"/>
      <w:pgNumType w:start="1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065" w:rsidRDefault="005D1D08">
      <w:pPr>
        <w:spacing w:line="240" w:lineRule="auto"/>
        <w:ind w:firstLine="640"/>
      </w:pPr>
      <w:r>
        <w:separator/>
      </w:r>
    </w:p>
  </w:endnote>
  <w:endnote w:type="continuationSeparator" w:id="1">
    <w:p w:rsidR="00770065" w:rsidRDefault="005D1D0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BF" w:rsidRDefault="007A41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65" w:rsidRDefault="005D1D08">
    <w:pPr>
      <w:pStyle w:val="a4"/>
      <w:ind w:firstLine="64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fit-shape-to-text:t" inset="0,0,0,0">
            <w:txbxContent>
              <w:p w:rsidR="00770065" w:rsidRPr="007A41BF" w:rsidRDefault="005D1D08" w:rsidP="007A41BF">
                <w:pPr>
                  <w:ind w:firstLine="640"/>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BF" w:rsidRDefault="007A41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065" w:rsidRDefault="005D1D08">
      <w:pPr>
        <w:spacing w:line="240" w:lineRule="auto"/>
        <w:ind w:firstLine="640"/>
      </w:pPr>
      <w:r>
        <w:separator/>
      </w:r>
    </w:p>
  </w:footnote>
  <w:footnote w:type="continuationSeparator" w:id="1">
    <w:p w:rsidR="00770065" w:rsidRDefault="005D1D0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BF" w:rsidRDefault="007A41BF" w:rsidP="007A41BF">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65" w:rsidRDefault="005D1D08">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1BF" w:rsidRDefault="007A41BF" w:rsidP="007A41BF">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56"/>
  <w:drawingGridVerticalSpacing w:val="287"/>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MjM4MTFjYWI0MTI0NTcxZDBjMTBhNzZmZDVmYjlkYzUifQ=="/>
  </w:docVars>
  <w:rsids>
    <w:rsidRoot w:val="6FD39BC4"/>
    <w:rsid w:val="00047300"/>
    <w:rsid w:val="00186438"/>
    <w:rsid w:val="002A2957"/>
    <w:rsid w:val="003838DC"/>
    <w:rsid w:val="004B6DDA"/>
    <w:rsid w:val="006B2972"/>
    <w:rsid w:val="00715E58"/>
    <w:rsid w:val="00770065"/>
    <w:rsid w:val="008C4476"/>
    <w:rsid w:val="00C142EC"/>
    <w:rsid w:val="00CF235F"/>
    <w:rsid w:val="0DB3500D"/>
    <w:rsid w:val="0E3C927B"/>
    <w:rsid w:val="0FEDB721"/>
    <w:rsid w:val="15DBDABB"/>
    <w:rsid w:val="1B29D1FB"/>
    <w:rsid w:val="1FD7D8AC"/>
    <w:rsid w:val="2B5E27F4"/>
    <w:rsid w:val="32ADFA32"/>
    <w:rsid w:val="39DDC19A"/>
    <w:rsid w:val="3BFF202D"/>
    <w:rsid w:val="3C6D58FF"/>
    <w:rsid w:val="3CFF8CA9"/>
    <w:rsid w:val="3D9128F5"/>
    <w:rsid w:val="3EFB2657"/>
    <w:rsid w:val="3EFFAE9D"/>
    <w:rsid w:val="3F5F95AF"/>
    <w:rsid w:val="3FAF21B7"/>
    <w:rsid w:val="47FF1B74"/>
    <w:rsid w:val="4DFF6EAB"/>
    <w:rsid w:val="4FEF7FC7"/>
    <w:rsid w:val="51BDEA2A"/>
    <w:rsid w:val="56F99093"/>
    <w:rsid w:val="593A18EF"/>
    <w:rsid w:val="5B7A5070"/>
    <w:rsid w:val="5DCCF69D"/>
    <w:rsid w:val="5EFFE8EA"/>
    <w:rsid w:val="5F7B10A0"/>
    <w:rsid w:val="5FACDD40"/>
    <w:rsid w:val="5FB74FB2"/>
    <w:rsid w:val="5FD253DC"/>
    <w:rsid w:val="5FFC55E5"/>
    <w:rsid w:val="5FFE85AF"/>
    <w:rsid w:val="66BF27CD"/>
    <w:rsid w:val="68FFBAC4"/>
    <w:rsid w:val="6AFBB10B"/>
    <w:rsid w:val="6B6C4B43"/>
    <w:rsid w:val="6B7FBB39"/>
    <w:rsid w:val="6DFDBECE"/>
    <w:rsid w:val="6E1FCE2A"/>
    <w:rsid w:val="6F7F9FAF"/>
    <w:rsid w:val="6FD39BC4"/>
    <w:rsid w:val="6FF3E2AF"/>
    <w:rsid w:val="6FFCBF6B"/>
    <w:rsid w:val="70B310EB"/>
    <w:rsid w:val="7318B912"/>
    <w:rsid w:val="737E6D71"/>
    <w:rsid w:val="756FADE9"/>
    <w:rsid w:val="763238CB"/>
    <w:rsid w:val="76EC95C2"/>
    <w:rsid w:val="7B7737BD"/>
    <w:rsid w:val="7BBFABD8"/>
    <w:rsid w:val="7BFF5631"/>
    <w:rsid w:val="7CFF90B1"/>
    <w:rsid w:val="7D6F817A"/>
    <w:rsid w:val="7D7F9340"/>
    <w:rsid w:val="7D7FBD23"/>
    <w:rsid w:val="7DAE53A9"/>
    <w:rsid w:val="7EFF7989"/>
    <w:rsid w:val="7FBA61E4"/>
    <w:rsid w:val="7FDAAF73"/>
    <w:rsid w:val="7FDBBF80"/>
    <w:rsid w:val="7FDDECF2"/>
    <w:rsid w:val="7FDF8834"/>
    <w:rsid w:val="7FF5973C"/>
    <w:rsid w:val="7FFBE639"/>
    <w:rsid w:val="7FFDBCF4"/>
    <w:rsid w:val="86D3A099"/>
    <w:rsid w:val="9DDF1F50"/>
    <w:rsid w:val="A6BFD7A2"/>
    <w:rsid w:val="A757E2E6"/>
    <w:rsid w:val="A7F636CB"/>
    <w:rsid w:val="ADF95F38"/>
    <w:rsid w:val="ADFEBDFC"/>
    <w:rsid w:val="AF7FF652"/>
    <w:rsid w:val="B33ED158"/>
    <w:rsid w:val="B71F97DC"/>
    <w:rsid w:val="B98FA8EF"/>
    <w:rsid w:val="B9E7D97C"/>
    <w:rsid w:val="B9FE4EE9"/>
    <w:rsid w:val="BD7756C3"/>
    <w:rsid w:val="BDFB89D9"/>
    <w:rsid w:val="BDFD39D3"/>
    <w:rsid w:val="BFD4F571"/>
    <w:rsid w:val="BFFDC89B"/>
    <w:rsid w:val="CEFBE7EF"/>
    <w:rsid w:val="D23FB1E9"/>
    <w:rsid w:val="D36311EF"/>
    <w:rsid w:val="D6ABCF6C"/>
    <w:rsid w:val="D77A27B4"/>
    <w:rsid w:val="D7FBF4E3"/>
    <w:rsid w:val="DAFD18EE"/>
    <w:rsid w:val="DDB758EF"/>
    <w:rsid w:val="DEFFDF9B"/>
    <w:rsid w:val="DF7EEF58"/>
    <w:rsid w:val="DFD33A7E"/>
    <w:rsid w:val="DFF98892"/>
    <w:rsid w:val="DFFAB8C5"/>
    <w:rsid w:val="DFFEDF49"/>
    <w:rsid w:val="DFFFAC12"/>
    <w:rsid w:val="E37FCC39"/>
    <w:rsid w:val="E7DB373A"/>
    <w:rsid w:val="EBD975A2"/>
    <w:rsid w:val="EE9D71BD"/>
    <w:rsid w:val="EEF54309"/>
    <w:rsid w:val="EEF7A9A0"/>
    <w:rsid w:val="EEFB7EE8"/>
    <w:rsid w:val="EF5EB032"/>
    <w:rsid w:val="EF7FED07"/>
    <w:rsid w:val="EF98D17F"/>
    <w:rsid w:val="EFEF8C9A"/>
    <w:rsid w:val="EFFFFD6E"/>
    <w:rsid w:val="F3BF6510"/>
    <w:rsid w:val="F3D79E8F"/>
    <w:rsid w:val="F4FDDDA7"/>
    <w:rsid w:val="F5BAF235"/>
    <w:rsid w:val="F5FFD7DA"/>
    <w:rsid w:val="F65F90E9"/>
    <w:rsid w:val="F6E967D7"/>
    <w:rsid w:val="F6EF711B"/>
    <w:rsid w:val="F6FF5EBA"/>
    <w:rsid w:val="F77F16F4"/>
    <w:rsid w:val="F7BEDEAB"/>
    <w:rsid w:val="F7DF17B5"/>
    <w:rsid w:val="F7DF3DD0"/>
    <w:rsid w:val="F7ED18BE"/>
    <w:rsid w:val="F7FEC8B5"/>
    <w:rsid w:val="FAAF379D"/>
    <w:rsid w:val="FB6D4011"/>
    <w:rsid w:val="FBF60652"/>
    <w:rsid w:val="FBFE7283"/>
    <w:rsid w:val="FCED0AE5"/>
    <w:rsid w:val="FCFC9853"/>
    <w:rsid w:val="FD13F534"/>
    <w:rsid w:val="FE5A72B1"/>
    <w:rsid w:val="FE7FAAB7"/>
    <w:rsid w:val="FEBDA0E1"/>
    <w:rsid w:val="FEFD6F25"/>
    <w:rsid w:val="FEFD735E"/>
    <w:rsid w:val="FF2D27E7"/>
    <w:rsid w:val="FF78E7EE"/>
    <w:rsid w:val="FFA72365"/>
    <w:rsid w:val="FFC972DC"/>
    <w:rsid w:val="FFCFCFDE"/>
    <w:rsid w:val="FFDF4A69"/>
    <w:rsid w:val="FFE7DBB6"/>
    <w:rsid w:val="FFF89D6C"/>
    <w:rsid w:val="FFFFBFAF"/>
    <w:rsid w:val="005D1D08"/>
    <w:rsid w:val="007A41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70065"/>
    <w:pPr>
      <w:widowControl w:val="0"/>
      <w:spacing w:line="579" w:lineRule="exact"/>
      <w:ind w:firstLineChars="200" w:firstLine="906"/>
      <w:jc w:val="both"/>
    </w:pPr>
    <w:rPr>
      <w:rFonts w:eastAsia="仿宋_GB2312" w:cstheme="minorBidi"/>
      <w:kern w:val="2"/>
      <w:sz w:val="32"/>
      <w:szCs w:val="24"/>
    </w:rPr>
  </w:style>
  <w:style w:type="paragraph" w:styleId="1">
    <w:name w:val="heading 1"/>
    <w:basedOn w:val="a"/>
    <w:next w:val="a"/>
    <w:qFormat/>
    <w:rsid w:val="00770065"/>
    <w:pPr>
      <w:spacing w:line="760" w:lineRule="exact"/>
      <w:ind w:firstLineChars="0" w:firstLine="0"/>
      <w:jc w:val="center"/>
      <w:outlineLvl w:val="0"/>
    </w:pPr>
    <w:rPr>
      <w:rFonts w:eastAsia="方正小标宋简体"/>
      <w:bCs/>
      <w:kern w:val="44"/>
      <w:sz w:val="44"/>
      <w:szCs w:val="44"/>
    </w:rPr>
  </w:style>
  <w:style w:type="paragraph" w:styleId="20">
    <w:name w:val="heading 2"/>
    <w:basedOn w:val="a"/>
    <w:next w:val="a"/>
    <w:qFormat/>
    <w:rsid w:val="00770065"/>
    <w:pPr>
      <w:outlineLvl w:val="1"/>
    </w:pPr>
    <w:rPr>
      <w:rFonts w:eastAsia="黑体"/>
      <w:bCs/>
      <w:szCs w:val="32"/>
    </w:rPr>
  </w:style>
  <w:style w:type="paragraph" w:styleId="3">
    <w:name w:val="heading 3"/>
    <w:basedOn w:val="a"/>
    <w:next w:val="a"/>
    <w:link w:val="3Char"/>
    <w:qFormat/>
    <w:rsid w:val="00770065"/>
    <w:pPr>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unhideWhenUsed/>
    <w:qFormat/>
    <w:rsid w:val="00770065"/>
    <w:pPr>
      <w:spacing w:after="120" w:line="480" w:lineRule="auto"/>
    </w:pPr>
  </w:style>
  <w:style w:type="paragraph" w:styleId="a3">
    <w:name w:val="Body Text"/>
    <w:basedOn w:val="a"/>
    <w:next w:val="5"/>
    <w:qFormat/>
    <w:rsid w:val="00770065"/>
    <w:rPr>
      <w:rFonts w:eastAsia="仿宋" w:cs="Times New Roman"/>
      <w:szCs w:val="20"/>
    </w:rPr>
  </w:style>
  <w:style w:type="paragraph" w:styleId="5">
    <w:name w:val="toc 5"/>
    <w:basedOn w:val="a"/>
    <w:next w:val="a"/>
    <w:qFormat/>
    <w:rsid w:val="00770065"/>
    <w:pPr>
      <w:ind w:leftChars="800" w:left="1680"/>
    </w:pPr>
  </w:style>
  <w:style w:type="paragraph" w:styleId="a4">
    <w:name w:val="footer"/>
    <w:basedOn w:val="a"/>
    <w:link w:val="Char"/>
    <w:uiPriority w:val="99"/>
    <w:qFormat/>
    <w:rsid w:val="00770065"/>
    <w:pPr>
      <w:tabs>
        <w:tab w:val="center" w:pos="4153"/>
        <w:tab w:val="right" w:pos="8306"/>
      </w:tabs>
      <w:snapToGrid w:val="0"/>
      <w:spacing w:line="240" w:lineRule="atLeast"/>
      <w:ind w:firstLineChars="0" w:firstLine="0"/>
      <w:jc w:val="left"/>
    </w:pPr>
    <w:rPr>
      <w:sz w:val="28"/>
      <w:szCs w:val="28"/>
    </w:rPr>
  </w:style>
  <w:style w:type="paragraph" w:styleId="a5">
    <w:name w:val="header"/>
    <w:basedOn w:val="a"/>
    <w:qFormat/>
    <w:rsid w:val="0077006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rsid w:val="0077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rsid w:val="00770065"/>
    <w:pPr>
      <w:spacing w:beforeAutospacing="1" w:afterAutospacing="1"/>
      <w:jc w:val="left"/>
    </w:pPr>
    <w:rPr>
      <w:rFonts w:cs="Times New Roman"/>
      <w:kern w:val="0"/>
      <w:sz w:val="24"/>
    </w:rPr>
  </w:style>
  <w:style w:type="character" w:styleId="a7">
    <w:name w:val="page number"/>
    <w:basedOn w:val="a0"/>
    <w:qFormat/>
    <w:rsid w:val="00770065"/>
  </w:style>
  <w:style w:type="character" w:styleId="a8">
    <w:name w:val="Emphasis"/>
    <w:basedOn w:val="a0"/>
    <w:qFormat/>
    <w:rsid w:val="00770065"/>
    <w:rPr>
      <w:i/>
    </w:rPr>
  </w:style>
  <w:style w:type="character" w:styleId="a9">
    <w:name w:val="Hyperlink"/>
    <w:basedOn w:val="a0"/>
    <w:qFormat/>
    <w:rsid w:val="00770065"/>
    <w:rPr>
      <w:color w:val="0000FF"/>
      <w:u w:val="single"/>
    </w:rPr>
  </w:style>
  <w:style w:type="character" w:customStyle="1" w:styleId="3Char">
    <w:name w:val="标题 3 Char"/>
    <w:basedOn w:val="a0"/>
    <w:link w:val="3"/>
    <w:qFormat/>
    <w:rsid w:val="00770065"/>
    <w:rPr>
      <w:rFonts w:eastAsia="楷体_GB2312"/>
      <w:b/>
      <w:bCs/>
      <w:szCs w:val="32"/>
    </w:rPr>
  </w:style>
  <w:style w:type="paragraph" w:customStyle="1" w:styleId="UserStyle0">
    <w:name w:val="UserStyle_0"/>
    <w:basedOn w:val="a"/>
    <w:qFormat/>
    <w:rsid w:val="00770065"/>
    <w:pPr>
      <w:widowControl/>
      <w:spacing w:after="120"/>
      <w:textAlignment w:val="baseline"/>
    </w:pPr>
    <w:rPr>
      <w:kern w:val="0"/>
      <w:sz w:val="20"/>
    </w:rPr>
  </w:style>
  <w:style w:type="character" w:customStyle="1" w:styleId="font11">
    <w:name w:val="font11"/>
    <w:basedOn w:val="a0"/>
    <w:qFormat/>
    <w:rsid w:val="00770065"/>
    <w:rPr>
      <w:rFonts w:ascii="仿宋_GB2312" w:eastAsia="仿宋_GB2312" w:cs="仿宋_GB2312" w:hint="eastAsia"/>
      <w:color w:val="000000"/>
      <w:sz w:val="28"/>
      <w:szCs w:val="28"/>
      <w:u w:val="none"/>
    </w:rPr>
  </w:style>
  <w:style w:type="character" w:customStyle="1" w:styleId="Char">
    <w:name w:val="页脚 Char"/>
    <w:basedOn w:val="a0"/>
    <w:link w:val="a4"/>
    <w:uiPriority w:val="99"/>
    <w:qFormat/>
    <w:rsid w:val="00770065"/>
    <w:rPr>
      <w:rFonts w:eastAsia="仿宋_GB2312" w:cstheme="minorBidi"/>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idu.com/link?url=F50pU7vSRr72wgsqc5ytxdsmyz1ybF3GpKpo6SqxEZw1EH6STE-gG0HTeNY0426wS399T0e8pl8I0e4rL2g0Fq3EXqC3W6YWENCPar7ZI0U9coNxoY-t2Y4c0srWe-O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idu.com/link?url=F50pU7vSRr72wgsqc5ytxdsmyz1ybF3GpKpo6SqxEZw1EH6STE-gG0HTeNY0426wS399T0e8pl8I0e4rL2g0Fq3EXqC3W6YWENCPar7ZI0U9coNxoY-t2Y4c0srWe-O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4835</Words>
  <Characters>1098</Characters>
  <Application>Microsoft Office Word</Application>
  <DocSecurity>0</DocSecurity>
  <Lines>9</Lines>
  <Paragraphs>11</Paragraphs>
  <ScaleCrop>false</ScaleCrop>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贺雪莲 172.16.19.111</cp:lastModifiedBy>
  <cp:revision>2</cp:revision>
  <cp:lastPrinted>2023-04-06T07:10:00Z</cp:lastPrinted>
  <dcterms:created xsi:type="dcterms:W3CDTF">2023-04-06T07:10:00Z</dcterms:created>
  <dcterms:modified xsi:type="dcterms:W3CDTF">2023-04-06T07:10:00Z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6F71ACF1F2C04D9C98E0022856249B2A</vt:lpwstr>
  </property>
</Properties>
</file>