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sz w:val="24"/>
        </w:rPr>
      </w:pPr>
      <w:r>
        <w:rPr>
          <w:sz w:val="24"/>
        </w:rPr>
        <w:tab/>
      </w:r>
      <w:r>
        <w:rPr>
          <w:rFonts w:hint="eastAsia"/>
        </w:rPr>
        <w:t>湖南省建设工程造价管理协会</w:t>
      </w:r>
    </w:p>
    <w:p>
      <w:pPr>
        <w:pStyle w:val="5"/>
      </w:pPr>
      <w:r>
        <w:rPr>
          <w:rFonts w:hint="eastAsia"/>
        </w:rPr>
        <w:t>关于规范工程造价咨询服务收费的意见</w:t>
      </w:r>
    </w:p>
    <w:p>
      <w:pPr>
        <w:spacing w:line="360" w:lineRule="auto"/>
        <w:rPr>
          <w:rFonts w:hint="eastAsia" w:eastAsia="宋体"/>
          <w:sz w:val="24"/>
          <w:lang w:val="en-US" w:eastAsia="zh-CN"/>
        </w:rPr>
      </w:pPr>
      <w:r>
        <w:rPr>
          <w:rFonts w:hint="eastAsia"/>
          <w:sz w:val="24"/>
          <w:lang w:val="en-US" w:eastAsia="zh-CN"/>
        </w:rPr>
        <w:t xml:space="preserve">                      （征求意见稿）</w:t>
      </w:r>
      <w:bookmarkStart w:id="0" w:name="_GoBack"/>
      <w:bookmarkEnd w:id="0"/>
    </w:p>
    <w:p>
      <w:pPr>
        <w:spacing w:line="360" w:lineRule="auto"/>
        <w:rPr>
          <w:sz w:val="24"/>
        </w:rPr>
      </w:pPr>
      <w:r>
        <w:rPr>
          <w:rFonts w:hint="eastAsia"/>
          <w:sz w:val="24"/>
          <w:lang w:val="en-US" w:eastAsia="zh-CN"/>
        </w:rPr>
        <w:t xml:space="preserve">    </w:t>
      </w:r>
      <w:r>
        <w:rPr>
          <w:rFonts w:hint="eastAsia"/>
          <w:sz w:val="24"/>
        </w:rPr>
        <w:t>在湘价服</w:t>
      </w:r>
      <w:r>
        <w:rPr>
          <w:sz w:val="24"/>
        </w:rPr>
        <w:t>[2009]81</w:t>
      </w:r>
      <w:r>
        <w:rPr>
          <w:rFonts w:hint="eastAsia"/>
          <w:sz w:val="24"/>
        </w:rPr>
        <w:t>号《湖南省建设工程造价咨询服务收费管理办法》取消以后，造价咨询服务行业的咨询服务收费实行市场调节机制。为规范建设工程造价咨询服务收费行为，维护当事人的合法权益，统一工程造价咨询企业制定服务价格的相关服务内容，加强造价咨询行业自律，促进建设工程造价咨询行业的健康发展，根据《中华人民共和国价格法》、《中华人民共和国反垄断法》、《关于商品和服务实行明码标价的规定》、《中价协关于规范工程造价咨询服务收费的五点意见》等法律法规及有关规定制定本意见。</w:t>
      </w:r>
    </w:p>
    <w:p>
      <w:pPr>
        <w:spacing w:line="360" w:lineRule="auto"/>
        <w:ind w:firstLine="480"/>
        <w:rPr>
          <w:sz w:val="24"/>
        </w:rPr>
      </w:pPr>
      <w:r>
        <w:rPr>
          <w:rFonts w:hint="eastAsia"/>
          <w:sz w:val="24"/>
        </w:rPr>
        <w:t>一、依法设立具有工商行政管理部门核发的《企业法人营业执照》，并取得建设行政主管部门《工程造价咨询企业资质证书》的企业，应按照《建设工程造价咨询合同（示范文本）》与委托方签订咨询合同，并在承接工程造价咨询业务时向委托方收取工程造价咨询服务费。</w:t>
      </w:r>
    </w:p>
    <w:p>
      <w:pPr>
        <w:spacing w:line="360" w:lineRule="auto"/>
        <w:ind w:firstLine="482"/>
        <w:rPr>
          <w:rFonts w:cs="Arial"/>
          <w:sz w:val="24"/>
        </w:rPr>
      </w:pPr>
      <w:r>
        <w:rPr>
          <w:rFonts w:hint="eastAsia"/>
          <w:sz w:val="24"/>
        </w:rPr>
        <w:t>二、</w:t>
      </w:r>
      <w:r>
        <w:rPr>
          <w:rFonts w:hint="eastAsia" w:cs="Arial"/>
          <w:sz w:val="24"/>
        </w:rPr>
        <w:t>工程造价咨询服务收费是指工程造价咨询企业接受社会委托，从事投资估算、工程概算、工程量清单、招标控制价、工程预算、工程结算、竣工决算的编制与审核，建设项目各阶段的工程造价控制、工程经济的鉴定等与工程造价业务有关的咨询服务，并出具工程造价咨询成果文件等业务活动所收取的费用。</w:t>
      </w:r>
    </w:p>
    <w:p>
      <w:pPr>
        <w:spacing w:line="360" w:lineRule="auto"/>
        <w:ind w:firstLine="482"/>
        <w:rPr>
          <w:rFonts w:cs="Arial"/>
          <w:sz w:val="24"/>
        </w:rPr>
      </w:pPr>
      <w:r>
        <w:rPr>
          <w:rFonts w:hint="eastAsia" w:cs="Arial"/>
          <w:sz w:val="24"/>
        </w:rPr>
        <w:t>三、工程造价咨询企业应遵守国家法律、法规和有关标准，并应严格按照行业的执业准则、管理规范、操作规程、造价咨询成果文件质量标准等提供质量合格的服务。工程造价咨询服务应当遵循公平公正、诚实守信、自愿有偿、委托方付费的原则（法律法规另有规定的除外）。</w:t>
      </w:r>
    </w:p>
    <w:p>
      <w:pPr>
        <w:pStyle w:val="6"/>
        <w:adjustRightInd w:val="0"/>
        <w:snapToGrid w:val="0"/>
        <w:spacing w:before="0" w:beforeAutospacing="0" w:after="0" w:afterAutospacing="0" w:line="360" w:lineRule="auto"/>
        <w:ind w:firstLine="420"/>
        <w:rPr>
          <w:rFonts w:ascii="Times New Roman" w:hAnsi="Times New Roman" w:cs="Arial"/>
          <w:kern w:val="2"/>
        </w:rPr>
      </w:pPr>
      <w:r>
        <w:rPr>
          <w:rFonts w:hint="eastAsia"/>
        </w:rPr>
        <w:t>四、</w:t>
      </w:r>
      <w:r>
        <w:rPr>
          <w:rFonts w:hint="eastAsia" w:ascii="Times New Roman" w:hAnsi="Times New Roman" w:cs="Arial"/>
          <w:kern w:val="2"/>
        </w:rPr>
        <w:t>工程造价咨询企业因提交的工程造价咨询成果文件达不到合同规定的要求或质量标准，应负责修改完善，委托方不应另行支付咨询费。工程造价咨询合同履行过程中，由于委托方或工程造价咨询企业失误造成对方损失或达不到合同约定要求的，应按双方合同约定的相应条款予以赔偿。</w:t>
      </w:r>
    </w:p>
    <w:p>
      <w:pPr>
        <w:pStyle w:val="12"/>
        <w:spacing w:line="360" w:lineRule="auto"/>
        <w:ind w:firstLine="360" w:firstLineChars="150"/>
        <w:rPr>
          <w:rFonts w:ascii="Times New Roman" w:hAnsi="Times New Roman" w:cs="Arial"/>
          <w:kern w:val="2"/>
          <w:sz w:val="24"/>
          <w:szCs w:val="24"/>
        </w:rPr>
      </w:pPr>
      <w:r>
        <w:rPr>
          <w:rFonts w:hint="eastAsia"/>
          <w:sz w:val="24"/>
        </w:rPr>
        <w:t>五、</w:t>
      </w:r>
      <w:r>
        <w:rPr>
          <w:rFonts w:hint="eastAsia" w:ascii="Times New Roman" w:hAnsi="Times New Roman" w:cs="Arial"/>
          <w:kern w:val="2"/>
          <w:sz w:val="24"/>
          <w:szCs w:val="24"/>
        </w:rPr>
        <w:t>本意见中的造价咨询服务收费参考价格为收费价格上限，可作为工程造价咨询企业制定企业收费价格的参考，企业根据经营情况确定优惠幅度，不管采取何种方式收取咨询服务费用，均不应低于工程项目服务成本价竞争。</w:t>
      </w:r>
    </w:p>
    <w:p>
      <w:pPr>
        <w:spacing w:line="360" w:lineRule="auto"/>
        <w:ind w:firstLine="360" w:firstLineChars="150"/>
        <w:rPr>
          <w:sz w:val="24"/>
        </w:rPr>
      </w:pPr>
      <w:r>
        <w:rPr>
          <w:rFonts w:hint="eastAsia"/>
          <w:sz w:val="24"/>
        </w:rPr>
        <w:t>六、工程造价咨询企业应在其经营场所的醒目位置公示收费项目、服务内容、计费方式、计费价格等事项，并将企业咨询服务收费价格报送省造价管理协会，省造价管理协会在协会网站上公示，自觉接受社会监督和价格主管部门的监督检查。</w:t>
      </w:r>
    </w:p>
    <w:p>
      <w:pPr>
        <w:spacing w:line="360" w:lineRule="auto"/>
        <w:ind w:firstLine="360" w:firstLineChars="150"/>
        <w:rPr>
          <w:sz w:val="24"/>
        </w:rPr>
      </w:pPr>
      <w:r>
        <w:rPr>
          <w:rFonts w:hint="eastAsia"/>
          <w:sz w:val="24"/>
        </w:rPr>
        <w:t>七、“咨询服务收费参考价格表”中的咨询服务内容分为基本工作和可选工作，基本工作是工程造价咨询服务必须完成的工作，支持开展可选工作的咨询服务，推行大中型建设项目采用全过程造价咨询服务或全过程跟踪审计服务方式。</w:t>
      </w:r>
    </w:p>
    <w:p>
      <w:pPr>
        <w:spacing w:line="360" w:lineRule="auto"/>
        <w:ind w:firstLine="360" w:firstLineChars="150"/>
        <w:rPr>
          <w:sz w:val="24"/>
        </w:rPr>
      </w:pPr>
      <w:r>
        <w:rPr>
          <w:rFonts w:hint="eastAsia"/>
          <w:sz w:val="24"/>
        </w:rPr>
        <w:t>八、工程结算审核的效益费用，可采用“谁受益、谁付费”的方式，费用由委托方负责将受益的第三方费用收取后与本方的费用一并支付给被委托方。</w:t>
      </w:r>
    </w:p>
    <w:p>
      <w:pPr>
        <w:spacing w:line="360" w:lineRule="auto"/>
        <w:ind w:firstLine="360" w:firstLineChars="150"/>
        <w:rPr>
          <w:sz w:val="24"/>
        </w:rPr>
      </w:pPr>
      <w:r>
        <w:rPr>
          <w:rFonts w:hint="eastAsia"/>
          <w:sz w:val="24"/>
        </w:rPr>
        <w:t>九、造价咨询服务收费实行差额累进计费，计费基础为单位工程造价金额（全过程造价咨询除外）。单位工程的定义：具有独立设计文件，能独立组织施工，但不能独立发挥生产能力或使用功能的工程项目。如：一栋房屋建筑工程可划分为土建工程、精装修工程、安装工程等单位工程；市政道路工程可划分为土建工程、排水工程、绿化工程、路灯照明工程等。</w:t>
      </w:r>
    </w:p>
    <w:p>
      <w:pPr>
        <w:spacing w:line="360" w:lineRule="auto"/>
        <w:ind w:firstLine="480"/>
        <w:rPr>
          <w:sz w:val="24"/>
        </w:rPr>
      </w:pPr>
      <w:r>
        <w:rPr>
          <w:rFonts w:hint="eastAsia"/>
          <w:sz w:val="24"/>
        </w:rPr>
        <w:t>【示例】</w:t>
      </w:r>
    </w:p>
    <w:p>
      <w:pPr>
        <w:spacing w:line="360" w:lineRule="auto"/>
        <w:ind w:firstLine="480"/>
        <w:rPr>
          <w:sz w:val="24"/>
        </w:rPr>
      </w:pPr>
      <w:r>
        <w:rPr>
          <w:rFonts w:hint="eastAsia"/>
          <w:sz w:val="24"/>
        </w:rPr>
        <w:t>某房屋建筑项目的招标控制价编制：总造价为</w:t>
      </w:r>
      <w:r>
        <w:rPr>
          <w:sz w:val="24"/>
        </w:rPr>
        <w:t>2500</w:t>
      </w:r>
      <w:r>
        <w:rPr>
          <w:rFonts w:hint="eastAsia"/>
          <w:sz w:val="24"/>
        </w:rPr>
        <w:t>万元，其中土建工程造价为</w:t>
      </w:r>
      <w:r>
        <w:rPr>
          <w:sz w:val="24"/>
        </w:rPr>
        <w:t>1600</w:t>
      </w:r>
      <w:r>
        <w:rPr>
          <w:rFonts w:hint="eastAsia"/>
          <w:sz w:val="24"/>
        </w:rPr>
        <w:t>万元，安装工程造价</w:t>
      </w:r>
      <w:r>
        <w:rPr>
          <w:sz w:val="24"/>
        </w:rPr>
        <w:t>360</w:t>
      </w:r>
      <w:r>
        <w:rPr>
          <w:rFonts w:hint="eastAsia"/>
          <w:sz w:val="24"/>
        </w:rPr>
        <w:t>万元，精装修工程造价为</w:t>
      </w:r>
      <w:r>
        <w:rPr>
          <w:sz w:val="24"/>
        </w:rPr>
        <w:t>540</w:t>
      </w:r>
      <w:r>
        <w:rPr>
          <w:rFonts w:hint="eastAsia"/>
          <w:sz w:val="24"/>
        </w:rPr>
        <w:t>万元。咨询服务合同约定的工作内容为附件</w:t>
      </w:r>
      <w:r>
        <w:rPr>
          <w:sz w:val="24"/>
        </w:rPr>
        <w:t>3</w:t>
      </w:r>
      <w:r>
        <w:rPr>
          <w:rFonts w:hint="eastAsia"/>
          <w:sz w:val="24"/>
        </w:rPr>
        <w:t>中“编制工程量清单及清单计价”的基本工作。</w:t>
      </w:r>
    </w:p>
    <w:p>
      <w:pPr>
        <w:spacing w:line="360" w:lineRule="auto"/>
        <w:ind w:firstLine="480" w:firstLineChars="200"/>
        <w:rPr>
          <w:sz w:val="24"/>
        </w:rPr>
      </w:pPr>
      <w:r>
        <w:rPr>
          <w:rFonts w:hint="eastAsia"/>
          <w:sz w:val="24"/>
        </w:rPr>
        <w:t>计算咨询费时应分为土建工程、安装工程、精装修工程共三个单位工程，查询附件</w:t>
      </w:r>
      <w:r>
        <w:rPr>
          <w:sz w:val="24"/>
        </w:rPr>
        <w:t>10</w:t>
      </w:r>
      <w:r>
        <w:rPr>
          <w:rFonts w:hint="eastAsia"/>
          <w:sz w:val="24"/>
        </w:rPr>
        <w:t>“专业调整系数表”，安装工程调整系数为</w:t>
      </w:r>
      <w:r>
        <w:rPr>
          <w:sz w:val="24"/>
        </w:rPr>
        <w:t>1.2</w:t>
      </w:r>
      <w:r>
        <w:rPr>
          <w:rFonts w:hint="eastAsia"/>
          <w:sz w:val="24"/>
        </w:rPr>
        <w:t>，精装修工程调整系数为</w:t>
      </w:r>
      <w:r>
        <w:rPr>
          <w:sz w:val="24"/>
        </w:rPr>
        <w:t>1.2</w:t>
      </w:r>
      <w:r>
        <w:rPr>
          <w:rFonts w:hint="eastAsia"/>
          <w:sz w:val="24"/>
        </w:rPr>
        <w:t>。</w:t>
      </w:r>
    </w:p>
    <w:p>
      <w:pPr>
        <w:spacing w:line="360" w:lineRule="auto"/>
        <w:ind w:firstLine="480"/>
        <w:rPr>
          <w:sz w:val="24"/>
        </w:rPr>
      </w:pPr>
      <w:r>
        <w:rPr>
          <w:rFonts w:hint="eastAsia"/>
          <w:sz w:val="24"/>
        </w:rPr>
        <w:t>咨询费＝</w:t>
      </w:r>
      <w:r>
        <w:rPr>
          <w:sz w:val="24"/>
        </w:rPr>
        <w:t>500</w:t>
      </w:r>
      <w:r>
        <w:rPr>
          <w:rFonts w:hint="eastAsia"/>
          <w:sz w:val="24"/>
        </w:rPr>
        <w:t>×</w:t>
      </w:r>
      <w:r>
        <w:rPr>
          <w:sz w:val="24"/>
        </w:rPr>
        <w:t>6</w:t>
      </w:r>
      <w:r>
        <w:rPr>
          <w:rFonts w:hint="eastAsia"/>
          <w:sz w:val="24"/>
        </w:rPr>
        <w:t>‰</w:t>
      </w:r>
      <w:r>
        <w:rPr>
          <w:sz w:val="24"/>
        </w:rPr>
        <w:t>+1100</w:t>
      </w:r>
      <w:r>
        <w:rPr>
          <w:rFonts w:hint="eastAsia"/>
          <w:sz w:val="24"/>
        </w:rPr>
        <w:t>×</w:t>
      </w:r>
      <w:r>
        <w:rPr>
          <w:sz w:val="24"/>
        </w:rPr>
        <w:t>4.6</w:t>
      </w:r>
      <w:r>
        <w:rPr>
          <w:rFonts w:hint="eastAsia"/>
          <w:sz w:val="24"/>
        </w:rPr>
        <w:t>‰</w:t>
      </w:r>
      <w:r>
        <w:rPr>
          <w:sz w:val="24"/>
        </w:rPr>
        <w:t>+360</w:t>
      </w:r>
      <w:r>
        <w:rPr>
          <w:rFonts w:hint="eastAsia"/>
          <w:sz w:val="24"/>
        </w:rPr>
        <w:t>×</w:t>
      </w:r>
      <w:r>
        <w:rPr>
          <w:sz w:val="24"/>
        </w:rPr>
        <w:t>6</w:t>
      </w:r>
      <w:r>
        <w:rPr>
          <w:rFonts w:hint="eastAsia"/>
          <w:sz w:val="24"/>
        </w:rPr>
        <w:t>‰×</w:t>
      </w:r>
      <w:r>
        <w:rPr>
          <w:sz w:val="24"/>
        </w:rPr>
        <w:t>1.2+(500</w:t>
      </w:r>
      <w:r>
        <w:rPr>
          <w:rFonts w:hint="eastAsia"/>
          <w:sz w:val="24"/>
        </w:rPr>
        <w:t>×</w:t>
      </w:r>
      <w:r>
        <w:rPr>
          <w:sz w:val="24"/>
        </w:rPr>
        <w:t>6</w:t>
      </w:r>
      <w:r>
        <w:rPr>
          <w:rFonts w:hint="eastAsia"/>
          <w:sz w:val="24"/>
        </w:rPr>
        <w:t>‰</w:t>
      </w:r>
      <w:r>
        <w:rPr>
          <w:sz w:val="24"/>
        </w:rPr>
        <w:t>+40</w:t>
      </w:r>
      <w:r>
        <w:rPr>
          <w:rFonts w:hint="eastAsia"/>
          <w:sz w:val="24"/>
        </w:rPr>
        <w:t>×</w:t>
      </w:r>
      <w:r>
        <w:rPr>
          <w:sz w:val="24"/>
        </w:rPr>
        <w:t>4.6</w:t>
      </w:r>
      <w:r>
        <w:rPr>
          <w:rFonts w:hint="eastAsia"/>
          <w:sz w:val="24"/>
        </w:rPr>
        <w:t>‰</w:t>
      </w:r>
      <w:r>
        <w:rPr>
          <w:sz w:val="24"/>
        </w:rPr>
        <w:t xml:space="preserve">) </w:t>
      </w:r>
      <w:r>
        <w:rPr>
          <w:rFonts w:hint="eastAsia"/>
          <w:sz w:val="24"/>
        </w:rPr>
        <w:t>×</w:t>
      </w:r>
      <w:r>
        <w:rPr>
          <w:sz w:val="24"/>
        </w:rPr>
        <w:t>1.2=14.47</w:t>
      </w:r>
      <w:r>
        <w:rPr>
          <w:rFonts w:hint="eastAsia"/>
          <w:sz w:val="24"/>
        </w:rPr>
        <w:t>万元。</w:t>
      </w:r>
    </w:p>
    <w:p>
      <w:pPr>
        <w:spacing w:line="360" w:lineRule="auto"/>
        <w:rPr>
          <w:sz w:val="24"/>
        </w:rPr>
      </w:pPr>
      <w:r>
        <w:rPr>
          <w:rFonts w:hint="eastAsia"/>
          <w:sz w:val="24"/>
        </w:rPr>
        <w:t>十、工程造价咨询企业有价格违约、违规或违法行为，如发生投诉，则由协会行业自律委员会按照企业与协会签订的自律公约实施办法进行处理，或报请政府相关管理部门依法依规处罚。</w:t>
      </w:r>
    </w:p>
    <w:p>
      <w:pPr>
        <w:spacing w:line="360" w:lineRule="auto"/>
        <w:ind w:firstLine="465"/>
        <w:rPr>
          <w:sz w:val="24"/>
        </w:rPr>
      </w:pPr>
    </w:p>
    <w:p>
      <w:pPr>
        <w:spacing w:line="360" w:lineRule="auto"/>
        <w:ind w:firstLine="465"/>
        <w:rPr>
          <w:sz w:val="24"/>
        </w:rPr>
      </w:pPr>
      <w:r>
        <w:rPr>
          <w:rFonts w:hint="eastAsia"/>
          <w:sz w:val="24"/>
        </w:rPr>
        <w:t>附</w:t>
      </w:r>
      <w:r>
        <w:rPr>
          <w:rFonts w:hint="eastAsia"/>
          <w:sz w:val="24"/>
          <w:lang w:eastAsia="zh-CN"/>
        </w:rPr>
        <w:t>表</w:t>
      </w:r>
      <w:r>
        <w:rPr>
          <w:rFonts w:hint="eastAsia"/>
          <w:sz w:val="24"/>
        </w:rPr>
        <w:t>：</w:t>
      </w:r>
    </w:p>
    <w:p>
      <w:pPr>
        <w:spacing w:line="360" w:lineRule="auto"/>
        <w:ind w:firstLine="465"/>
        <w:rPr>
          <w:sz w:val="24"/>
        </w:rPr>
      </w:pPr>
      <w:r>
        <w:rPr>
          <w:sz w:val="24"/>
        </w:rPr>
        <w:t>1</w:t>
      </w:r>
      <w:r>
        <w:rPr>
          <w:rFonts w:hint="eastAsia"/>
          <w:sz w:val="24"/>
        </w:rPr>
        <w:t>，《投资估算编制或审核服务收费参考价格表》</w:t>
      </w:r>
    </w:p>
    <w:p>
      <w:pPr>
        <w:spacing w:line="360" w:lineRule="auto"/>
        <w:ind w:firstLine="465"/>
        <w:rPr>
          <w:sz w:val="24"/>
        </w:rPr>
      </w:pPr>
      <w:r>
        <w:rPr>
          <w:sz w:val="24"/>
        </w:rPr>
        <w:t>2</w:t>
      </w:r>
      <w:r>
        <w:rPr>
          <w:rFonts w:hint="eastAsia"/>
          <w:sz w:val="24"/>
        </w:rPr>
        <w:t>，《工程概算编制或审核服务收费参考价格表》</w:t>
      </w:r>
    </w:p>
    <w:p>
      <w:pPr>
        <w:pStyle w:val="13"/>
        <w:spacing w:before="51" w:afterLines="50" w:line="284" w:lineRule="exact"/>
        <w:ind w:firstLine="480" w:firstLineChars="200"/>
        <w:rPr>
          <w:rFonts w:ascii="Times New Roman" w:hAnsi="Times New Roman" w:cs="Times New Roman"/>
          <w:kern w:val="2"/>
        </w:rPr>
      </w:pPr>
      <w:r>
        <w:rPr>
          <w:rFonts w:ascii="Times New Roman" w:hAnsi="Times New Roman" w:cs="Times New Roman"/>
          <w:kern w:val="2"/>
        </w:rPr>
        <w:t>3</w:t>
      </w:r>
      <w:r>
        <w:rPr>
          <w:rFonts w:hint="eastAsia" w:ascii="Times New Roman" w:hAnsi="Times New Roman" w:cs="Times New Roman"/>
          <w:kern w:val="2"/>
        </w:rPr>
        <w:t>，《工程预算</w:t>
      </w:r>
      <w:r>
        <w:rPr>
          <w:rFonts w:hint="eastAsia" w:ascii="Times New Roman" w:hAnsi="Times New Roman" w:cs="Times New Roman"/>
          <w:kern w:val="2"/>
          <w:lang w:eastAsia="zh-CN"/>
        </w:rPr>
        <w:t>（工程量清单及计价）</w:t>
      </w:r>
      <w:r>
        <w:rPr>
          <w:rFonts w:hint="eastAsia" w:ascii="Times New Roman" w:hAnsi="Times New Roman" w:cs="Times New Roman"/>
          <w:kern w:val="2"/>
        </w:rPr>
        <w:t>编制或审核服务</w:t>
      </w:r>
      <w:r>
        <w:rPr>
          <w:rFonts w:hint="eastAsia"/>
        </w:rPr>
        <w:t>收</w:t>
      </w:r>
      <w:r>
        <w:rPr>
          <w:rFonts w:hint="eastAsia" w:ascii="Times New Roman" w:hAnsi="Times New Roman" w:cs="Times New Roman"/>
          <w:kern w:val="2"/>
        </w:rPr>
        <w:t>费参考价格表》</w:t>
      </w:r>
    </w:p>
    <w:p>
      <w:pPr>
        <w:pStyle w:val="13"/>
        <w:spacing w:before="51" w:afterLines="50" w:line="284" w:lineRule="exact"/>
        <w:ind w:firstLine="480" w:firstLineChars="200"/>
        <w:rPr>
          <w:rFonts w:ascii="Times New Roman" w:hAnsi="Times New Roman" w:cs="Times New Roman"/>
          <w:kern w:val="2"/>
        </w:rPr>
      </w:pPr>
      <w:r>
        <w:rPr>
          <w:rFonts w:ascii="Times New Roman" w:hAnsi="Times New Roman" w:cs="Times New Roman"/>
          <w:kern w:val="2"/>
        </w:rPr>
        <w:t>4</w:t>
      </w:r>
      <w:r>
        <w:rPr>
          <w:rFonts w:hint="eastAsia" w:ascii="Times New Roman" w:hAnsi="Times New Roman" w:cs="Times New Roman"/>
          <w:kern w:val="2"/>
        </w:rPr>
        <w:t>，《工程结算编制</w:t>
      </w:r>
      <w:r>
        <w:rPr>
          <w:rFonts w:hint="eastAsia" w:ascii="Times New Roman" w:hAnsi="Times New Roman" w:cs="Times New Roman"/>
          <w:kern w:val="2"/>
          <w:lang w:eastAsia="zh-CN"/>
        </w:rPr>
        <w:t>或审核</w:t>
      </w:r>
      <w:r>
        <w:rPr>
          <w:rFonts w:hint="eastAsia" w:ascii="Times New Roman" w:hAnsi="Times New Roman" w:cs="Times New Roman"/>
          <w:kern w:val="2"/>
        </w:rPr>
        <w:t>服务</w:t>
      </w:r>
      <w:r>
        <w:rPr>
          <w:rFonts w:hint="eastAsia"/>
        </w:rPr>
        <w:t>收</w:t>
      </w:r>
      <w:r>
        <w:rPr>
          <w:rFonts w:hint="eastAsia" w:ascii="Times New Roman" w:hAnsi="Times New Roman" w:cs="Times New Roman"/>
          <w:kern w:val="2"/>
        </w:rPr>
        <w:t>费参考价格表》</w:t>
      </w:r>
    </w:p>
    <w:p>
      <w:pPr>
        <w:pStyle w:val="13"/>
        <w:spacing w:before="51" w:afterLines="50" w:line="284" w:lineRule="exact"/>
        <w:ind w:firstLine="480" w:firstLineChars="200"/>
        <w:rPr>
          <w:rFonts w:hint="eastAsia" w:ascii="Times New Roman" w:hAnsi="Times New Roman" w:cs="Times New Roman"/>
          <w:kern w:val="2"/>
        </w:rPr>
      </w:pPr>
      <w:r>
        <w:rPr>
          <w:rFonts w:ascii="Times New Roman" w:hAnsi="Times New Roman" w:cs="Times New Roman"/>
          <w:kern w:val="2"/>
        </w:rPr>
        <w:t>5</w:t>
      </w:r>
      <w:r>
        <w:rPr>
          <w:rFonts w:hint="eastAsia" w:ascii="Times New Roman" w:hAnsi="Times New Roman" w:cs="Times New Roman"/>
          <w:kern w:val="2"/>
        </w:rPr>
        <w:t>，《竣工决算编制或审核的咨询服务收费参考价格表》</w:t>
      </w:r>
    </w:p>
    <w:p>
      <w:pPr>
        <w:pStyle w:val="13"/>
        <w:spacing w:before="51" w:afterLines="50" w:line="284" w:lineRule="exact"/>
        <w:ind w:firstLine="480" w:firstLineChars="200"/>
        <w:rPr>
          <w:rFonts w:hint="eastAsia" w:ascii="Times New Roman" w:hAnsi="Times New Roman" w:cs="Times New Roman"/>
          <w:kern w:val="2"/>
        </w:rPr>
      </w:pPr>
      <w:r>
        <w:rPr>
          <w:rFonts w:hint="eastAsia" w:ascii="Times New Roman" w:hAnsi="Times New Roman" w:cs="Times New Roman"/>
          <w:kern w:val="2"/>
        </w:rPr>
        <w:t>6，《全过程造价咨询服务收费参考价格表》</w:t>
      </w:r>
    </w:p>
    <w:p>
      <w:pPr>
        <w:pStyle w:val="13"/>
        <w:spacing w:before="51" w:afterLines="50" w:line="284" w:lineRule="exact"/>
        <w:ind w:firstLine="480" w:firstLineChars="200"/>
        <w:rPr>
          <w:rFonts w:ascii="Times New Roman" w:hAnsi="Times New Roman" w:cs="Times New Roman"/>
          <w:kern w:val="2"/>
        </w:rPr>
      </w:pPr>
      <w:r>
        <w:rPr>
          <w:rFonts w:hint="eastAsia" w:ascii="Times New Roman" w:hAnsi="Times New Roman" w:cs="Times New Roman"/>
          <w:kern w:val="2"/>
        </w:rPr>
        <w:t>7，《全过程跟踪审计服务收费参考价格表》</w:t>
      </w:r>
    </w:p>
    <w:p>
      <w:pPr>
        <w:pStyle w:val="13"/>
        <w:spacing w:before="51" w:afterLines="50" w:line="284" w:lineRule="exact"/>
        <w:ind w:firstLine="480" w:firstLineChars="200"/>
        <w:rPr>
          <w:rFonts w:ascii="Times New Roman" w:hAnsi="Times New Roman" w:cs="Times New Roman"/>
          <w:kern w:val="2"/>
        </w:rPr>
      </w:pPr>
      <w:r>
        <w:rPr>
          <w:rFonts w:hint="eastAsia" w:ascii="Times New Roman" w:hAnsi="Times New Roman" w:cs="Times New Roman"/>
          <w:kern w:val="2"/>
        </w:rPr>
        <w:t>8，《工程造价纠纷鉴定服务</w:t>
      </w:r>
      <w:r>
        <w:rPr>
          <w:rFonts w:hint="eastAsia"/>
        </w:rPr>
        <w:t>收</w:t>
      </w:r>
      <w:r>
        <w:rPr>
          <w:rFonts w:hint="eastAsia" w:ascii="Times New Roman" w:hAnsi="Times New Roman" w:cs="Times New Roman"/>
          <w:kern w:val="2"/>
        </w:rPr>
        <w:t>费参考价格表》</w:t>
      </w:r>
    </w:p>
    <w:p>
      <w:pPr>
        <w:pStyle w:val="13"/>
        <w:spacing w:before="51" w:afterLines="50" w:line="284" w:lineRule="exact"/>
        <w:ind w:firstLine="480" w:firstLineChars="200"/>
        <w:rPr>
          <w:rFonts w:ascii="Times New Roman" w:hAnsi="Times New Roman" w:cs="Times New Roman"/>
          <w:color w:val="FF0000"/>
          <w:kern w:val="2"/>
        </w:rPr>
      </w:pPr>
      <w:r>
        <w:rPr>
          <w:rFonts w:hint="eastAsia" w:ascii="Times New Roman" w:hAnsi="Times New Roman" w:cs="Times New Roman"/>
          <w:kern w:val="2"/>
        </w:rPr>
        <w:t>9，《造价咨询工日收费参考价格表》</w:t>
      </w:r>
    </w:p>
    <w:p>
      <w:pPr>
        <w:pStyle w:val="13"/>
        <w:spacing w:before="51" w:afterLines="50" w:line="284" w:lineRule="exact"/>
        <w:ind w:firstLine="480" w:firstLineChars="200"/>
        <w:rPr>
          <w:rFonts w:ascii="Times New Roman" w:hAnsi="Times New Roman" w:cs="Times New Roman"/>
          <w:kern w:val="2"/>
        </w:rPr>
      </w:pPr>
      <w:r>
        <w:rPr>
          <w:rFonts w:ascii="Times New Roman" w:hAnsi="Times New Roman" w:cs="Times New Roman"/>
          <w:kern w:val="2"/>
        </w:rPr>
        <w:t>10</w:t>
      </w:r>
      <w:r>
        <w:rPr>
          <w:rFonts w:hint="eastAsia" w:ascii="Times New Roman" w:hAnsi="Times New Roman" w:cs="Times New Roman"/>
          <w:kern w:val="2"/>
        </w:rPr>
        <w:t>，《专业调整系数表》</w:t>
      </w:r>
    </w:p>
    <w:sectPr>
      <w:headerReference r:id="rId3" w:type="default"/>
      <w:pgSz w:w="11906" w:h="16838"/>
      <w:pgMar w:top="1440" w:right="2006"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AC7C64"/>
    <w:rsid w:val="00020D88"/>
    <w:rsid w:val="00053A2C"/>
    <w:rsid w:val="00054974"/>
    <w:rsid w:val="000C170B"/>
    <w:rsid w:val="000F2AAD"/>
    <w:rsid w:val="000F47F2"/>
    <w:rsid w:val="00164949"/>
    <w:rsid w:val="001703DA"/>
    <w:rsid w:val="001800A0"/>
    <w:rsid w:val="00181109"/>
    <w:rsid w:val="00186CDF"/>
    <w:rsid w:val="001A3157"/>
    <w:rsid w:val="001A542D"/>
    <w:rsid w:val="001B668C"/>
    <w:rsid w:val="001B6899"/>
    <w:rsid w:val="001C0EDE"/>
    <w:rsid w:val="001E22F2"/>
    <w:rsid w:val="00224300"/>
    <w:rsid w:val="00286ABF"/>
    <w:rsid w:val="002907F2"/>
    <w:rsid w:val="002933CC"/>
    <w:rsid w:val="002D2852"/>
    <w:rsid w:val="002F2140"/>
    <w:rsid w:val="002F2B5B"/>
    <w:rsid w:val="0031136A"/>
    <w:rsid w:val="00311E99"/>
    <w:rsid w:val="00315326"/>
    <w:rsid w:val="0035262D"/>
    <w:rsid w:val="0035360F"/>
    <w:rsid w:val="0036484D"/>
    <w:rsid w:val="003720A1"/>
    <w:rsid w:val="00373646"/>
    <w:rsid w:val="00383485"/>
    <w:rsid w:val="00387AC3"/>
    <w:rsid w:val="003B102B"/>
    <w:rsid w:val="003F3889"/>
    <w:rsid w:val="003F6DD0"/>
    <w:rsid w:val="00416445"/>
    <w:rsid w:val="0041679F"/>
    <w:rsid w:val="0043299A"/>
    <w:rsid w:val="00435E5C"/>
    <w:rsid w:val="00443C81"/>
    <w:rsid w:val="004537B0"/>
    <w:rsid w:val="00465E65"/>
    <w:rsid w:val="004724A2"/>
    <w:rsid w:val="004766BD"/>
    <w:rsid w:val="0047723D"/>
    <w:rsid w:val="004777C7"/>
    <w:rsid w:val="00483FB7"/>
    <w:rsid w:val="004D25F1"/>
    <w:rsid w:val="004F7A91"/>
    <w:rsid w:val="00526561"/>
    <w:rsid w:val="00535A34"/>
    <w:rsid w:val="00540D0C"/>
    <w:rsid w:val="0058206C"/>
    <w:rsid w:val="0058309A"/>
    <w:rsid w:val="00583AF9"/>
    <w:rsid w:val="005B146B"/>
    <w:rsid w:val="006137D3"/>
    <w:rsid w:val="00622A80"/>
    <w:rsid w:val="00627B72"/>
    <w:rsid w:val="00636EF6"/>
    <w:rsid w:val="006A7690"/>
    <w:rsid w:val="006B2A09"/>
    <w:rsid w:val="006C70B6"/>
    <w:rsid w:val="006D645E"/>
    <w:rsid w:val="00705894"/>
    <w:rsid w:val="0071143D"/>
    <w:rsid w:val="00737BB7"/>
    <w:rsid w:val="00737BCF"/>
    <w:rsid w:val="007441D8"/>
    <w:rsid w:val="00750D2F"/>
    <w:rsid w:val="007524FC"/>
    <w:rsid w:val="00752D44"/>
    <w:rsid w:val="00774739"/>
    <w:rsid w:val="00776EF1"/>
    <w:rsid w:val="00782499"/>
    <w:rsid w:val="007918D6"/>
    <w:rsid w:val="00797A9D"/>
    <w:rsid w:val="007C53CE"/>
    <w:rsid w:val="007D7DD9"/>
    <w:rsid w:val="007E1177"/>
    <w:rsid w:val="00830352"/>
    <w:rsid w:val="008343D0"/>
    <w:rsid w:val="008411EB"/>
    <w:rsid w:val="00851694"/>
    <w:rsid w:val="00861DDD"/>
    <w:rsid w:val="008937B3"/>
    <w:rsid w:val="00894F42"/>
    <w:rsid w:val="008B162A"/>
    <w:rsid w:val="008C2EAF"/>
    <w:rsid w:val="008D381D"/>
    <w:rsid w:val="008E6940"/>
    <w:rsid w:val="00927B47"/>
    <w:rsid w:val="00943B1E"/>
    <w:rsid w:val="00974D46"/>
    <w:rsid w:val="00976460"/>
    <w:rsid w:val="00984F10"/>
    <w:rsid w:val="009958A2"/>
    <w:rsid w:val="009E6D64"/>
    <w:rsid w:val="00A0418D"/>
    <w:rsid w:val="00A0525B"/>
    <w:rsid w:val="00A15A73"/>
    <w:rsid w:val="00A17FC3"/>
    <w:rsid w:val="00A727F0"/>
    <w:rsid w:val="00AA1136"/>
    <w:rsid w:val="00AB09E7"/>
    <w:rsid w:val="00AB20BD"/>
    <w:rsid w:val="00AB3FC3"/>
    <w:rsid w:val="00AC3C5B"/>
    <w:rsid w:val="00AC7C64"/>
    <w:rsid w:val="00AE2BDC"/>
    <w:rsid w:val="00AE7464"/>
    <w:rsid w:val="00AF6B7D"/>
    <w:rsid w:val="00B02EDF"/>
    <w:rsid w:val="00B0425E"/>
    <w:rsid w:val="00B104A6"/>
    <w:rsid w:val="00B156DB"/>
    <w:rsid w:val="00B5045B"/>
    <w:rsid w:val="00B67499"/>
    <w:rsid w:val="00B84770"/>
    <w:rsid w:val="00B906CF"/>
    <w:rsid w:val="00B95FDD"/>
    <w:rsid w:val="00BB7C43"/>
    <w:rsid w:val="00BD561E"/>
    <w:rsid w:val="00BF114A"/>
    <w:rsid w:val="00BF30F0"/>
    <w:rsid w:val="00C13FAA"/>
    <w:rsid w:val="00C31D9F"/>
    <w:rsid w:val="00C6695F"/>
    <w:rsid w:val="00C70B15"/>
    <w:rsid w:val="00C85189"/>
    <w:rsid w:val="00CA3F79"/>
    <w:rsid w:val="00CB00C2"/>
    <w:rsid w:val="00CE1ADC"/>
    <w:rsid w:val="00CF3A71"/>
    <w:rsid w:val="00D02952"/>
    <w:rsid w:val="00D1472D"/>
    <w:rsid w:val="00D174B4"/>
    <w:rsid w:val="00D40B60"/>
    <w:rsid w:val="00D711DF"/>
    <w:rsid w:val="00D8564B"/>
    <w:rsid w:val="00D86983"/>
    <w:rsid w:val="00D97BD0"/>
    <w:rsid w:val="00DA1BFB"/>
    <w:rsid w:val="00DB2B4E"/>
    <w:rsid w:val="00DB3573"/>
    <w:rsid w:val="00DC0C58"/>
    <w:rsid w:val="00DF35F1"/>
    <w:rsid w:val="00E068B7"/>
    <w:rsid w:val="00E06C92"/>
    <w:rsid w:val="00E1356C"/>
    <w:rsid w:val="00E13B2C"/>
    <w:rsid w:val="00E13F64"/>
    <w:rsid w:val="00E37995"/>
    <w:rsid w:val="00E4460A"/>
    <w:rsid w:val="00E513FA"/>
    <w:rsid w:val="00E70E29"/>
    <w:rsid w:val="00E860C1"/>
    <w:rsid w:val="00E97072"/>
    <w:rsid w:val="00ED772E"/>
    <w:rsid w:val="00EE7E9F"/>
    <w:rsid w:val="00F051CA"/>
    <w:rsid w:val="00F256EF"/>
    <w:rsid w:val="00F3477C"/>
    <w:rsid w:val="00F51B54"/>
    <w:rsid w:val="00F714D7"/>
    <w:rsid w:val="00F975D9"/>
    <w:rsid w:val="00FA2DA9"/>
    <w:rsid w:val="00FC2111"/>
    <w:rsid w:val="00FD6721"/>
    <w:rsid w:val="00FE0AFE"/>
    <w:rsid w:val="081E3119"/>
    <w:rsid w:val="0A957F51"/>
    <w:rsid w:val="10F721CA"/>
    <w:rsid w:val="280A6CF8"/>
    <w:rsid w:val="28BC76C7"/>
    <w:rsid w:val="319D20AD"/>
    <w:rsid w:val="464D5D9F"/>
    <w:rsid w:val="6B2A7217"/>
    <w:rsid w:val="7F1D5860"/>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1"/>
    <w:qFormat/>
    <w:uiPriority w:val="99"/>
    <w:pPr>
      <w:spacing w:before="240" w:after="60" w:line="312" w:lineRule="auto"/>
      <w:jc w:val="center"/>
      <w:outlineLvl w:val="1"/>
    </w:pPr>
    <w:rPr>
      <w:rFonts w:ascii="Cambria" w:hAnsi="Cambria"/>
      <w:b/>
      <w:bCs/>
      <w:kern w:val="28"/>
      <w:sz w:val="32"/>
      <w:szCs w:val="32"/>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7"/>
    <w:link w:val="4"/>
    <w:semiHidden/>
    <w:qFormat/>
    <w:locked/>
    <w:uiPriority w:val="99"/>
    <w:rPr>
      <w:rFonts w:cs="Times New Roman"/>
      <w:sz w:val="18"/>
      <w:szCs w:val="18"/>
    </w:rPr>
  </w:style>
  <w:style w:type="character" w:customStyle="1" w:styleId="10">
    <w:name w:val="页脚 Char"/>
    <w:basedOn w:val="7"/>
    <w:link w:val="3"/>
    <w:semiHidden/>
    <w:qFormat/>
    <w:locked/>
    <w:uiPriority w:val="99"/>
    <w:rPr>
      <w:rFonts w:cs="Times New Roman"/>
      <w:sz w:val="18"/>
      <w:szCs w:val="18"/>
    </w:rPr>
  </w:style>
  <w:style w:type="character" w:customStyle="1" w:styleId="11">
    <w:name w:val="副标题 Char"/>
    <w:basedOn w:val="7"/>
    <w:link w:val="5"/>
    <w:qFormat/>
    <w:locked/>
    <w:uiPriority w:val="99"/>
    <w:rPr>
      <w:rFonts w:ascii="Cambria" w:hAnsi="Cambria" w:cs="Times New Roman"/>
      <w:b/>
      <w:bCs/>
      <w:kern w:val="28"/>
      <w:sz w:val="32"/>
      <w:szCs w:val="32"/>
    </w:rPr>
  </w:style>
  <w:style w:type="paragraph" w:customStyle="1" w:styleId="12">
    <w:name w:val="p0"/>
    <w:basedOn w:val="1"/>
    <w:qFormat/>
    <w:uiPriority w:val="99"/>
    <w:pPr>
      <w:widowControl/>
    </w:pPr>
    <w:rPr>
      <w:rFonts w:ascii="Calibri" w:hAnsi="Calibri" w:cs="宋体"/>
      <w:kern w:val="0"/>
      <w:szCs w:val="21"/>
    </w:rPr>
  </w:style>
  <w:style w:type="paragraph" w:customStyle="1" w:styleId="13">
    <w:name w:val="样式"/>
    <w:qFormat/>
    <w:uiPriority w:val="99"/>
    <w:pPr>
      <w:widowControl w:val="0"/>
      <w:autoSpaceDE w:val="0"/>
      <w:autoSpaceDN w:val="0"/>
      <w:adjustRightInd w:val="0"/>
    </w:pPr>
    <w:rPr>
      <w:rFonts w:ascii="Arial" w:hAnsi="Arial" w:eastAsia="宋体" w:cs="Arial"/>
      <w:sz w:val="24"/>
      <w:szCs w:val="24"/>
      <w:lang w:val="en-US" w:eastAsia="zh-CN" w:bidi="ar-SA"/>
    </w:rPr>
  </w:style>
  <w:style w:type="character" w:customStyle="1" w:styleId="14">
    <w:name w:val="批注框文本 Char"/>
    <w:basedOn w:val="7"/>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0731-84130265</Company>
  <Pages>3</Pages>
  <Words>284</Words>
  <Characters>1623</Characters>
  <Lines>13</Lines>
  <Paragraphs>3</Paragraphs>
  <ScaleCrop>false</ScaleCrop>
  <LinksUpToDate>false</LinksUpToDate>
  <CharactersWithSpaces>1904</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2016-07-07T03:54:00Z</dcterms:created>
  <dc:creator>news</dc:creator>
  <cp:lastModifiedBy>yml</cp:lastModifiedBy>
  <dcterms:modified xsi:type="dcterms:W3CDTF">2016-07-20T02:17:32Z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