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方正小标宋简体" w:eastAsia="方正小标宋简体"/>
          <w:bCs/>
          <w:color w:val="000000" w:themeColor="text1"/>
          <w:kern w:val="0"/>
          <w:sz w:val="44"/>
          <w:szCs w:val="44"/>
          <w:lang w:val="en-US" w:eastAsia="zh-CN"/>
          <w14:textFill>
            <w14:solidFill>
              <w14:schemeClr w14:val="tx1"/>
            </w14:solidFill>
          </w14:textFill>
        </w:rPr>
      </w:pPr>
      <w:r>
        <w:rPr>
          <w:rFonts w:hint="eastAsia" w:ascii="方正小标宋简体" w:eastAsia="方正小标宋简体"/>
          <w:bCs/>
          <w:color w:val="000000" w:themeColor="text1"/>
          <w:kern w:val="0"/>
          <w:sz w:val="44"/>
          <w:szCs w:val="44"/>
          <w14:textFill>
            <w14:solidFill>
              <w14:schemeClr w14:val="tx1"/>
            </w14:solidFill>
          </w14:textFill>
        </w:rPr>
        <w:t>湖南省建设工程计价</w:t>
      </w:r>
      <w:r>
        <w:rPr>
          <w:rFonts w:hint="eastAsia" w:ascii="方正小标宋简体" w:eastAsia="方正小标宋简体"/>
          <w:bCs/>
          <w:color w:val="000000" w:themeColor="text1"/>
          <w:kern w:val="0"/>
          <w:sz w:val="44"/>
          <w:szCs w:val="44"/>
          <w:lang w:eastAsia="zh-CN"/>
          <w14:textFill>
            <w14:solidFill>
              <w14:schemeClr w14:val="tx1"/>
            </w14:solidFill>
          </w14:textFill>
        </w:rPr>
        <w:t>问题解答（</w:t>
      </w:r>
      <w:r>
        <w:rPr>
          <w:rFonts w:hint="eastAsia" w:ascii="方正小标宋简体" w:eastAsia="方正小标宋简体"/>
          <w:bCs/>
          <w:color w:val="000000" w:themeColor="text1"/>
          <w:kern w:val="0"/>
          <w:sz w:val="44"/>
          <w:szCs w:val="44"/>
          <w:lang w:val="en-US" w:eastAsia="zh-CN"/>
          <w14:textFill>
            <w14:solidFill>
              <w14:schemeClr w14:val="tx1"/>
            </w14:solidFill>
          </w14:textFill>
        </w:rPr>
        <w:t>2023年）</w:t>
      </w:r>
    </w:p>
    <w:p>
      <w:pPr>
        <w:spacing w:line="600" w:lineRule="exact"/>
        <w:jc w:val="center"/>
        <w:rPr>
          <w:rFonts w:hint="eastAsia" w:ascii="方正小标宋简体" w:eastAsia="方正小标宋简体"/>
          <w:bCs/>
          <w:color w:val="000000" w:themeColor="text1"/>
          <w:kern w:val="0"/>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576" w:beforeLines="100" w:after="576" w:afterLines="100" w:line="600" w:lineRule="exact"/>
        <w:ind w:firstLine="643" w:firstLineChars="200"/>
        <w:jc w:val="left"/>
        <w:textAlignment w:val="auto"/>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一、计价办法</w:t>
      </w:r>
    </w:p>
    <w:p>
      <w:pPr>
        <w:spacing w:line="600" w:lineRule="exact"/>
        <w:ind w:firstLine="640" w:firstLineChars="200"/>
        <w:rPr>
          <w:rFonts w:hint="eastAsia" w:ascii="楷体" w:hAnsi="楷体" w:eastAsia="楷体" w:cs="楷体"/>
          <w:color w:val="000000" w:themeColor="text1"/>
          <w:szCs w:val="32"/>
          <w14:textFill>
            <w14:solidFill>
              <w14:schemeClr w14:val="tx1"/>
            </w14:solidFill>
          </w14:textFill>
        </w:rPr>
      </w:pPr>
      <w:r>
        <w:rPr>
          <w:rFonts w:hint="eastAsia" w:ascii="楷体" w:hAnsi="楷体" w:eastAsia="楷体" w:cs="楷体"/>
          <w:color w:val="000000" w:themeColor="text1"/>
          <w:szCs w:val="32"/>
          <w:lang w:val="en-US" w:eastAsia="zh-CN"/>
          <w14:textFill>
            <w14:solidFill>
              <w14:schemeClr w14:val="tx1"/>
            </w14:solidFill>
          </w14:textFill>
        </w:rPr>
        <w:t xml:space="preserve">1. </w:t>
      </w:r>
      <w:r>
        <w:rPr>
          <w:rFonts w:hint="eastAsia" w:ascii="楷体" w:hAnsi="楷体" w:eastAsia="楷体" w:cs="楷体"/>
          <w:color w:val="000000" w:themeColor="text1"/>
          <w:szCs w:val="32"/>
          <w14:textFill>
            <w14:solidFill>
              <w14:schemeClr w14:val="tx1"/>
            </w14:solidFill>
          </w14:textFill>
        </w:rPr>
        <w:t>洗车设备、洗车槽、洗车平台是否可单独计算，结算如何计算费用？</w:t>
      </w:r>
    </w:p>
    <w:p>
      <w:pPr>
        <w:spacing w:line="600" w:lineRule="exact"/>
        <w:ind w:firstLine="640" w:firstLineChars="200"/>
        <w:rPr>
          <w:rFonts w:hint="eastAsia" w:eastAsia="方正仿宋简体"/>
          <w:color w:val="000000" w:themeColor="text1"/>
          <w:szCs w:val="32"/>
          <w14:textFill>
            <w14:solidFill>
              <w14:schemeClr w14:val="tx1"/>
            </w14:solidFill>
          </w14:textFill>
        </w:rPr>
      </w:pPr>
      <w:r>
        <w:rPr>
          <w:rFonts w:hint="eastAsia" w:eastAsia="方正仿宋简体"/>
          <w:color w:val="000000" w:themeColor="text1"/>
          <w:szCs w:val="32"/>
          <w14:textFill>
            <w14:solidFill>
              <w14:schemeClr w14:val="tx1"/>
            </w14:solidFill>
          </w14:textFill>
        </w:rPr>
        <w:t>洗车设备、洗车槽、洗车平台安装及拆除为绿色施工防护措施费中的可按实计量部分；洗车设备按摊销处理，一年按60%计算摊销费用，两年按80%计算摊销费用，两年以上全部摊销；洗车槽或洗车平台按实结算。招投标时按计价办法中相应费率计算。</w:t>
      </w:r>
    </w:p>
    <w:p>
      <w:pPr>
        <w:spacing w:line="600" w:lineRule="exact"/>
        <w:ind w:firstLine="640" w:firstLineChars="200"/>
        <w:rPr>
          <w:rFonts w:hint="eastAsia" w:ascii="楷体" w:hAnsi="楷体" w:eastAsia="楷体" w:cs="楷体"/>
          <w:color w:val="000000" w:themeColor="text1"/>
          <w:szCs w:val="32"/>
          <w:lang w:val="en-US" w:eastAsia="zh-CN"/>
          <w14:textFill>
            <w14:solidFill>
              <w14:schemeClr w14:val="tx1"/>
            </w14:solidFill>
          </w14:textFill>
        </w:rPr>
      </w:pPr>
      <w:r>
        <w:rPr>
          <w:rFonts w:hint="eastAsia" w:ascii="楷体" w:hAnsi="楷体" w:eastAsia="楷体" w:cs="楷体"/>
          <w:color w:val="000000" w:themeColor="text1"/>
          <w:szCs w:val="32"/>
          <w:lang w:val="en-US" w:eastAsia="zh-CN"/>
          <w14:textFill>
            <w14:solidFill>
              <w14:schemeClr w14:val="tx1"/>
            </w14:solidFill>
          </w14:textFill>
        </w:rPr>
        <w:t>2. 施工场地硬化、施工道路、施工围挡（墙）、场地绿化是否要计算拆除及外运费用？</w:t>
      </w:r>
    </w:p>
    <w:p>
      <w:pPr>
        <w:spacing w:line="600" w:lineRule="exact"/>
        <w:ind w:firstLine="640" w:firstLineChars="200"/>
        <w:rPr>
          <w:rFonts w:hint="eastAsia" w:eastAsia="方正仿宋简体"/>
          <w:color w:val="000000" w:themeColor="text1"/>
          <w:szCs w:val="32"/>
          <w14:textFill>
            <w14:solidFill>
              <w14:schemeClr w14:val="tx1"/>
            </w14:solidFill>
          </w14:textFill>
        </w:rPr>
      </w:pPr>
      <w:r>
        <w:rPr>
          <w:rFonts w:hint="eastAsia" w:ascii="方正仿宋简体" w:hAnsi="方正仿宋简体" w:eastAsia="方正仿宋简体" w:cs="方正仿宋简体"/>
          <w:color w:val="000000" w:themeColor="text1"/>
          <w:szCs w:val="32"/>
          <w14:textFill>
            <w14:solidFill>
              <w14:schemeClr w14:val="tx1"/>
            </w14:solidFill>
          </w14:textFill>
        </w:rPr>
        <w:t>施工场地硬化、施工道路、施工围挡（墙）、场地绿化</w:t>
      </w:r>
      <w:r>
        <w:rPr>
          <w:rFonts w:hint="eastAsia" w:eastAsia="方正仿宋简体"/>
          <w:color w:val="000000" w:themeColor="text1"/>
          <w:szCs w:val="32"/>
          <w14:textFill>
            <w14:solidFill>
              <w14:schemeClr w14:val="tx1"/>
            </w14:solidFill>
          </w14:textFill>
        </w:rPr>
        <w:t>为绿色施工防护措施费中的可按实计量部分，按实计取拆除及外运费用。</w:t>
      </w:r>
      <w:bookmarkStart w:id="0" w:name="_GoBack"/>
      <w:bookmarkEnd w:id="0"/>
    </w:p>
    <w:p>
      <w:pPr>
        <w:spacing w:line="600" w:lineRule="exact"/>
        <w:ind w:firstLine="640" w:firstLineChars="200"/>
        <w:rPr>
          <w:rFonts w:hint="eastAsia" w:ascii="楷体" w:hAnsi="楷体" w:eastAsia="楷体" w:cs="楷体"/>
          <w:color w:val="000000" w:themeColor="text1"/>
          <w:szCs w:val="32"/>
          <w14:textFill>
            <w14:solidFill>
              <w14:schemeClr w14:val="tx1"/>
            </w14:solidFill>
          </w14:textFill>
        </w:rPr>
      </w:pPr>
      <w:r>
        <w:rPr>
          <w:rFonts w:hint="eastAsia" w:ascii="楷体" w:hAnsi="楷体" w:eastAsia="楷体" w:cs="楷体"/>
          <w:color w:val="000000" w:themeColor="text1"/>
          <w:szCs w:val="32"/>
          <w:lang w:val="en-US" w:eastAsia="zh-CN"/>
          <w14:textFill>
            <w14:solidFill>
              <w14:schemeClr w14:val="tx1"/>
            </w14:solidFill>
          </w14:textFill>
        </w:rPr>
        <w:t xml:space="preserve">3. </w:t>
      </w:r>
      <w:r>
        <w:rPr>
          <w:rFonts w:hint="eastAsia" w:ascii="楷体" w:hAnsi="楷体" w:eastAsia="楷体" w:cs="楷体"/>
          <w:color w:val="000000" w:themeColor="text1"/>
          <w:szCs w:val="32"/>
          <w14:textFill>
            <w14:solidFill>
              <w14:schemeClr w14:val="tx1"/>
            </w14:solidFill>
          </w14:textFill>
        </w:rPr>
        <w:t>绿色施工措施费按工程量计量部分中“施工场地硬化”主要指施工现场哪些位置？</w:t>
      </w:r>
    </w:p>
    <w:p>
      <w:pPr>
        <w:spacing w:line="600" w:lineRule="exact"/>
        <w:ind w:firstLine="640" w:firstLineChars="200"/>
        <w:rPr>
          <w:rFonts w:hint="eastAsia" w:eastAsia="方正仿宋简体"/>
          <w:color w:val="000000" w:themeColor="text1"/>
          <w:szCs w:val="32"/>
          <w14:textFill>
            <w14:solidFill>
              <w14:schemeClr w14:val="tx1"/>
            </w14:solidFill>
          </w14:textFill>
        </w:rPr>
      </w:pPr>
      <w:r>
        <w:rPr>
          <w:rFonts w:hint="eastAsia" w:ascii="方正仿宋简体" w:hAnsi="方正仿宋简体" w:eastAsia="方正仿宋简体" w:cs="方正仿宋简体"/>
          <w:color w:val="000000" w:themeColor="text1"/>
          <w:szCs w:val="32"/>
          <w14:textFill>
            <w14:solidFill>
              <w14:schemeClr w14:val="tx1"/>
            </w14:solidFill>
          </w14:textFill>
        </w:rPr>
        <w:t>临时设施之内或之下的场地硬化包括在绿色施工安全防</w:t>
      </w:r>
      <w:r>
        <w:rPr>
          <w:rFonts w:hint="eastAsia" w:eastAsia="方正仿宋简体"/>
          <w:color w:val="000000" w:themeColor="text1"/>
          <w:szCs w:val="32"/>
          <w14:textFill>
            <w14:solidFill>
              <w14:schemeClr w14:val="tx1"/>
            </w14:solidFill>
          </w14:textFill>
        </w:rPr>
        <w:t>护措施费的固定费率部分，其余场地硬化属于按实计量部分，按实计取。</w:t>
      </w:r>
    </w:p>
    <w:p>
      <w:pPr>
        <w:numPr>
          <w:ilvl w:val="0"/>
          <w:numId w:val="0"/>
        </w:numPr>
        <w:spacing w:line="600" w:lineRule="exact"/>
        <w:ind w:firstLine="640" w:firstLineChars="200"/>
        <w:rPr>
          <w:rFonts w:hint="eastAsia" w:ascii="楷体" w:hAnsi="楷体" w:eastAsia="楷体" w:cs="楷体"/>
          <w:color w:val="000000" w:themeColor="text1"/>
          <w:szCs w:val="32"/>
          <w:lang w:eastAsia="zh-CN"/>
          <w14:textFill>
            <w14:solidFill>
              <w14:schemeClr w14:val="tx1"/>
            </w14:solidFill>
          </w14:textFill>
        </w:rPr>
      </w:pPr>
      <w:r>
        <w:rPr>
          <w:rFonts w:hint="eastAsia" w:ascii="楷体" w:hAnsi="楷体" w:eastAsia="楷体" w:cs="楷体"/>
          <w:color w:val="000000" w:themeColor="text1"/>
          <w:szCs w:val="32"/>
          <w:lang w:val="en-US" w:eastAsia="zh-CN"/>
          <w14:textFill>
            <w14:solidFill>
              <w14:schemeClr w14:val="tx1"/>
            </w14:solidFill>
          </w14:textFill>
        </w:rPr>
        <w:t xml:space="preserve">4. </w:t>
      </w:r>
      <w:r>
        <w:rPr>
          <w:rFonts w:hint="eastAsia" w:ascii="楷体" w:hAnsi="楷体" w:eastAsia="楷体" w:cs="楷体"/>
          <w:color w:val="000000" w:themeColor="text1"/>
          <w:szCs w:val="32"/>
          <w:lang w:eastAsia="zh-CN"/>
          <w14:textFill>
            <w14:solidFill>
              <w14:schemeClr w14:val="tx1"/>
            </w14:solidFill>
          </w14:textFill>
        </w:rPr>
        <w:t>企业管理费中的自检试验费中是否包括由建设单位委托</w:t>
      </w:r>
      <w:r>
        <w:rPr>
          <w:rFonts w:hint="eastAsia" w:ascii="楷体" w:hAnsi="楷体" w:eastAsia="楷体" w:cs="楷体"/>
          <w:color w:val="000000" w:themeColor="text1"/>
          <w:szCs w:val="32"/>
          <w14:textFill>
            <w14:solidFill>
              <w14:schemeClr w14:val="tx1"/>
            </w14:solidFill>
          </w14:textFill>
        </w:rPr>
        <w:t>第三方检测的费用</w:t>
      </w:r>
      <w:r>
        <w:rPr>
          <w:rFonts w:hint="eastAsia" w:ascii="楷体" w:hAnsi="楷体" w:eastAsia="楷体" w:cs="楷体"/>
          <w:color w:val="000000" w:themeColor="text1"/>
          <w:szCs w:val="32"/>
          <w:lang w:eastAsia="zh-CN"/>
          <w14:textFill>
            <w14:solidFill>
              <w14:schemeClr w14:val="tx1"/>
            </w14:solidFill>
          </w14:textFill>
        </w:rPr>
        <w:t>？</w:t>
      </w:r>
    </w:p>
    <w:p>
      <w:pPr>
        <w:spacing w:line="600" w:lineRule="exact"/>
        <w:ind w:firstLine="640" w:firstLineChars="200"/>
        <w:rPr>
          <w:rFonts w:hint="eastAsia" w:eastAsia="方正仿宋简体"/>
          <w:color w:val="000000" w:themeColor="text1"/>
          <w:szCs w:val="32"/>
          <w14:textFill>
            <w14:solidFill>
              <w14:schemeClr w14:val="tx1"/>
            </w14:solidFill>
          </w14:textFill>
        </w:rPr>
      </w:pPr>
      <w:r>
        <w:rPr>
          <w:rFonts w:hint="eastAsia" w:ascii="方正仿宋简体" w:hAnsi="方正仿宋简体" w:eastAsia="方正仿宋简体" w:cs="方正仿宋简体"/>
          <w:color w:val="000000" w:themeColor="text1"/>
          <w:szCs w:val="32"/>
          <w14:textFill>
            <w14:solidFill>
              <w14:schemeClr w14:val="tx1"/>
            </w14:solidFill>
          </w14:textFill>
        </w:rPr>
        <w:t>企业管理费中的自检试验费为施工单位自检费用的开支，</w:t>
      </w:r>
      <w:r>
        <w:rPr>
          <w:rFonts w:hint="eastAsia" w:eastAsia="方正仿宋简体"/>
          <w:color w:val="000000" w:themeColor="text1"/>
          <w:szCs w:val="32"/>
          <w14:textFill>
            <w14:solidFill>
              <w14:schemeClr w14:val="tx1"/>
            </w14:solidFill>
          </w14:textFill>
        </w:rPr>
        <w:t>凡是由法律法规规定应由建设单位委托第三方检测的费用均未包含在</w:t>
      </w:r>
      <w:r>
        <w:rPr>
          <w:rFonts w:hint="eastAsia" w:eastAsia="方正仿宋简体"/>
          <w:color w:val="000000" w:themeColor="text1"/>
          <w:szCs w:val="32"/>
          <w:lang w:eastAsia="zh-CN"/>
          <w14:textFill>
            <w14:solidFill>
              <w14:schemeClr w14:val="tx1"/>
            </w14:solidFill>
          </w14:textFill>
        </w:rPr>
        <w:t>其</w:t>
      </w:r>
      <w:r>
        <w:rPr>
          <w:rFonts w:hint="eastAsia" w:eastAsia="方正仿宋简体"/>
          <w:color w:val="000000" w:themeColor="text1"/>
          <w:szCs w:val="32"/>
          <w14:textFill>
            <w14:solidFill>
              <w14:schemeClr w14:val="tx1"/>
            </w14:solidFill>
          </w14:textFill>
        </w:rPr>
        <w:t>中。</w:t>
      </w:r>
    </w:p>
    <w:p>
      <w:pPr>
        <w:keepNext w:val="0"/>
        <w:keepLines w:val="0"/>
        <w:pageBreakBefore w:val="0"/>
        <w:widowControl w:val="0"/>
        <w:kinsoku/>
        <w:wordWrap/>
        <w:overflowPunct/>
        <w:topLinePunct w:val="0"/>
        <w:autoSpaceDE/>
        <w:autoSpaceDN/>
        <w:bidi w:val="0"/>
        <w:adjustRightInd/>
        <w:snapToGrid/>
        <w:spacing w:before="576" w:beforeLines="100" w:after="576" w:afterLines="100" w:line="600" w:lineRule="exact"/>
        <w:ind w:firstLine="643" w:firstLineChars="200"/>
        <w:jc w:val="left"/>
        <w:textAlignment w:val="auto"/>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二、房屋建筑与装饰工程</w:t>
      </w:r>
    </w:p>
    <w:p>
      <w:pPr>
        <w:spacing w:line="600" w:lineRule="exact"/>
        <w:ind w:firstLine="640" w:firstLineChars="200"/>
        <w:rPr>
          <w:rFonts w:hint="eastAsia" w:ascii="楷体" w:hAnsi="楷体" w:eastAsia="楷体" w:cs="楷体"/>
          <w:color w:val="000000" w:themeColor="text1"/>
          <w:szCs w:val="32"/>
          <w:lang w:val="en-US" w:eastAsia="zh-CN"/>
          <w14:textFill>
            <w14:solidFill>
              <w14:schemeClr w14:val="tx1"/>
            </w14:solidFill>
          </w14:textFill>
        </w:rPr>
      </w:pPr>
      <w:r>
        <w:rPr>
          <w:rFonts w:hint="eastAsia" w:ascii="楷体" w:hAnsi="楷体" w:eastAsia="楷体" w:cs="楷体"/>
          <w:color w:val="000000" w:themeColor="text1"/>
          <w:szCs w:val="32"/>
          <w:lang w:val="en-US" w:eastAsia="zh-CN"/>
          <w14:textFill>
            <w14:solidFill>
              <w14:schemeClr w14:val="tx1"/>
            </w14:solidFill>
          </w14:textFill>
        </w:rPr>
        <w:t>1. 挖掘机挖沟槽石渣如何计价？</w:t>
      </w:r>
    </w:p>
    <w:p>
      <w:pPr>
        <w:spacing w:line="600" w:lineRule="exact"/>
        <w:ind w:firstLine="640" w:firstLineChars="200"/>
        <w:rPr>
          <w:rFonts w:hint="eastAsia" w:eastAsia="方正仿宋简体"/>
          <w:color w:val="000000" w:themeColor="text1"/>
          <w:szCs w:val="32"/>
          <w:lang w:val="en-US" w:eastAsia="zh-CN"/>
          <w14:textFill>
            <w14:solidFill>
              <w14:schemeClr w14:val="tx1"/>
            </w14:solidFill>
          </w14:textFill>
        </w:rPr>
      </w:pPr>
      <w:r>
        <w:rPr>
          <w:rFonts w:hint="eastAsia" w:eastAsia="方正仿宋简体"/>
          <w:color w:val="000000" w:themeColor="text1"/>
          <w:szCs w:val="32"/>
          <w:lang w:val="en-US" w:eastAsia="zh-CN"/>
          <w14:textFill>
            <w14:solidFill>
              <w14:schemeClr w14:val="tx1"/>
            </w14:solidFill>
          </w14:textFill>
        </w:rPr>
        <w:t>按机械石方相应子目执行。</w:t>
      </w:r>
    </w:p>
    <w:p>
      <w:pPr>
        <w:spacing w:line="600" w:lineRule="exact"/>
        <w:ind w:firstLine="640" w:firstLineChars="200"/>
        <w:rPr>
          <w:rFonts w:hint="eastAsia" w:ascii="楷体" w:hAnsi="楷体" w:eastAsia="楷体" w:cs="楷体"/>
          <w:color w:val="000000" w:themeColor="text1"/>
          <w:szCs w:val="32"/>
          <w:lang w:val="en-US" w:eastAsia="zh-CN"/>
          <w14:textFill>
            <w14:solidFill>
              <w14:schemeClr w14:val="tx1"/>
            </w14:solidFill>
          </w14:textFill>
        </w:rPr>
      </w:pPr>
      <w:r>
        <w:rPr>
          <w:rFonts w:hint="eastAsia" w:ascii="楷体" w:hAnsi="楷体" w:eastAsia="楷体" w:cs="楷体"/>
          <w:color w:val="000000" w:themeColor="text1"/>
          <w:szCs w:val="32"/>
          <w:lang w:val="en-US" w:eastAsia="zh-CN"/>
          <w14:textFill>
            <w14:solidFill>
              <w14:schemeClr w14:val="tx1"/>
            </w14:solidFill>
          </w14:textFill>
        </w:rPr>
        <w:t>2. “地基处理、基坑支护工程”章节中无地下连续墙相关子目和计价说明，如何计价？</w:t>
      </w:r>
    </w:p>
    <w:p>
      <w:pPr>
        <w:spacing w:line="600" w:lineRule="exact"/>
        <w:ind w:firstLine="640" w:firstLineChars="200"/>
        <w:rPr>
          <w:rFonts w:hint="eastAsia" w:eastAsia="方正仿宋简体"/>
          <w:color w:val="000000" w:themeColor="text1"/>
          <w:szCs w:val="32"/>
          <w:lang w:val="en-US" w:eastAsia="zh-CN"/>
          <w14:textFill>
            <w14:solidFill>
              <w14:schemeClr w14:val="tx1"/>
            </w14:solidFill>
          </w14:textFill>
        </w:rPr>
      </w:pPr>
      <w:r>
        <w:rPr>
          <w:rFonts w:hint="eastAsia" w:eastAsia="方正仿宋简体"/>
          <w:color w:val="000000" w:themeColor="text1"/>
          <w:szCs w:val="32"/>
          <w:lang w:val="en-US" w:eastAsia="zh-CN"/>
          <w14:textFill>
            <w14:solidFill>
              <w14:schemeClr w14:val="tx1"/>
            </w14:solidFill>
          </w14:textFill>
        </w:rPr>
        <w:t>参照市政工程消耗量标准中相关子目执行。</w:t>
      </w:r>
    </w:p>
    <w:p>
      <w:pPr>
        <w:spacing w:line="600" w:lineRule="exact"/>
        <w:ind w:firstLine="640" w:firstLineChars="200"/>
        <w:rPr>
          <w:rFonts w:hint="eastAsia" w:ascii="楷体" w:hAnsi="楷体" w:eastAsia="楷体" w:cs="楷体"/>
          <w:color w:val="000000" w:themeColor="text1"/>
          <w:szCs w:val="32"/>
          <w:lang w:val="en-US" w:eastAsia="zh-CN"/>
          <w14:textFill>
            <w14:solidFill>
              <w14:schemeClr w14:val="tx1"/>
            </w14:solidFill>
          </w14:textFill>
        </w:rPr>
      </w:pPr>
      <w:r>
        <w:rPr>
          <w:rFonts w:hint="eastAsia" w:ascii="楷体" w:hAnsi="楷体" w:eastAsia="楷体" w:cs="楷体"/>
          <w:color w:val="000000" w:themeColor="text1"/>
          <w:szCs w:val="32"/>
          <w:lang w:val="en-US" w:eastAsia="zh-CN"/>
          <w14:textFill>
            <w14:solidFill>
              <w14:schemeClr w14:val="tx1"/>
            </w14:solidFill>
          </w14:textFill>
        </w:rPr>
        <w:t>3. 送预制方（管）桩可按打（压）桩相应项目人工、机械乘以系数，送桩的工程量是按总桩长还是送桩长度计算？</w:t>
      </w:r>
    </w:p>
    <w:p>
      <w:pPr>
        <w:spacing w:line="600" w:lineRule="exact"/>
        <w:ind w:firstLine="640" w:firstLineChars="200"/>
        <w:rPr>
          <w:rFonts w:hint="eastAsia" w:ascii="方正仿宋简体" w:hAnsi="方正仿宋简体" w:eastAsia="方正仿宋简体" w:cs="方正仿宋简体"/>
          <w:color w:val="000000" w:themeColor="text1"/>
          <w:lang w:val="en-US" w:eastAsia="zh-CN"/>
          <w14:textFill>
            <w14:solidFill>
              <w14:schemeClr w14:val="tx1"/>
            </w14:solidFill>
          </w14:textFill>
        </w:rPr>
      </w:pPr>
      <w:r>
        <w:rPr>
          <w:rFonts w:hint="eastAsia" w:ascii="方正仿宋简体" w:hAnsi="方正仿宋简体" w:eastAsia="方正仿宋简体" w:cs="方正仿宋简体"/>
          <w:color w:val="000000" w:themeColor="text1"/>
          <w:lang w:val="en-US" w:eastAsia="zh-CN"/>
          <w14:textFill>
            <w14:solidFill>
              <w14:schemeClr w14:val="tx1"/>
            </w14:solidFill>
          </w14:textFill>
        </w:rPr>
        <w:t>按送桩长度计算工程量。</w:t>
      </w:r>
    </w:p>
    <w:p>
      <w:pPr>
        <w:numPr>
          <w:ilvl w:val="0"/>
          <w:numId w:val="0"/>
        </w:numPr>
        <w:spacing w:line="600" w:lineRule="exact"/>
        <w:ind w:firstLine="640" w:firstLineChars="200"/>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kern w:val="2"/>
          <w:sz w:val="32"/>
          <w:szCs w:val="22"/>
          <w:lang w:val="en-US" w:eastAsia="zh-CN" w:bidi="ar-SA"/>
          <w14:textFill>
            <w14:solidFill>
              <w14:schemeClr w14:val="tx1"/>
            </w14:solidFill>
          </w14:textFill>
        </w:rPr>
        <w:t xml:space="preserve">4. </w:t>
      </w:r>
      <w:r>
        <w:rPr>
          <w:rFonts w:hint="eastAsia" w:ascii="楷体" w:hAnsi="楷体" w:eastAsia="楷体" w:cs="楷体"/>
          <w:color w:val="000000" w:themeColor="text1"/>
          <w:szCs w:val="32"/>
          <w:lang w:val="en-US" w:eastAsia="zh-CN"/>
          <w14:textFill>
            <w14:solidFill>
              <w14:schemeClr w14:val="tx1"/>
            </w14:solidFill>
          </w14:textFill>
        </w:rPr>
        <w:t>声测管工程按自然地坪至设计桩底标高加0.5m，是否与规范</w:t>
      </w:r>
      <w:r>
        <w:rPr>
          <w:rFonts w:hint="eastAsia" w:ascii="楷体" w:hAnsi="楷体" w:eastAsia="楷体" w:cs="楷体"/>
          <w:color w:val="000000" w:themeColor="text1"/>
          <w:lang w:val="en-US" w:eastAsia="zh-CN"/>
          <w14:textFill>
            <w14:solidFill>
              <w14:schemeClr w14:val="tx1"/>
            </w14:solidFill>
          </w14:textFill>
        </w:rPr>
        <w:t>不一致？</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ascii="方正仿宋简体" w:hAnsi="方正仿宋简体" w:eastAsia="方正仿宋简体" w:cs="方正仿宋简体"/>
          <w:color w:val="000000" w:themeColor="text1"/>
          <w14:textFill>
            <w14:solidFill>
              <w14:schemeClr w14:val="tx1"/>
            </w14:solidFill>
          </w14:textFill>
        </w:rPr>
        <w:t>规范为最低标准，计算规则是按项目常用施工方案取</w:t>
      </w:r>
      <w:r>
        <w:rPr>
          <w:rFonts w:hint="eastAsia" w:eastAsia="方正仿宋简体"/>
          <w:color w:val="000000" w:themeColor="text1"/>
          <w14:textFill>
            <w14:solidFill>
              <w14:schemeClr w14:val="tx1"/>
            </w14:solidFill>
          </w14:textFill>
        </w:rPr>
        <w:t>定。</w:t>
      </w:r>
    </w:p>
    <w:p>
      <w:pPr>
        <w:spacing w:line="600" w:lineRule="exact"/>
        <w:ind w:firstLine="640" w:firstLineChars="200"/>
        <w:rPr>
          <w:rFonts w:hint="eastAsia" w:ascii="楷体" w:hAnsi="楷体" w:eastAsia="楷体" w:cs="楷体"/>
          <w:color w:val="000000" w:themeColor="text1"/>
          <w:szCs w:val="32"/>
          <w:lang w:eastAsia="zh-CN"/>
          <w14:textFill>
            <w14:solidFill>
              <w14:schemeClr w14:val="tx1"/>
            </w14:solidFill>
          </w14:textFill>
        </w:rPr>
      </w:pPr>
      <w:r>
        <w:rPr>
          <w:rFonts w:hint="eastAsia" w:ascii="楷体" w:hAnsi="楷体" w:eastAsia="楷体" w:cs="楷体"/>
          <w:color w:val="000000" w:themeColor="text1"/>
          <w:szCs w:val="32"/>
          <w:lang w:val="en-US" w:eastAsia="zh-CN"/>
          <w14:textFill>
            <w14:solidFill>
              <w14:schemeClr w14:val="tx1"/>
            </w14:solidFill>
          </w14:textFill>
        </w:rPr>
        <w:t>5</w:t>
      </w:r>
      <w:r>
        <w:rPr>
          <w:rFonts w:hint="eastAsia" w:ascii="楷体" w:hAnsi="楷体" w:eastAsia="楷体" w:cs="楷体"/>
          <w:color w:val="000000" w:themeColor="text1"/>
          <w:szCs w:val="32"/>
          <w:lang w:eastAsia="zh-CN"/>
          <w14:textFill>
            <w14:solidFill>
              <w14:schemeClr w14:val="tx1"/>
            </w14:solidFill>
          </w14:textFill>
        </w:rPr>
        <w:t>. 混凝土泵送高度，是按单栋总檐口高度区分还是按每一层的高度计算？</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按檐口高度执行相应子目。</w:t>
      </w:r>
    </w:p>
    <w:p>
      <w:pPr>
        <w:spacing w:line="600" w:lineRule="exact"/>
        <w:ind w:firstLine="640" w:firstLineChars="200"/>
        <w:rPr>
          <w:rFonts w:hint="eastAsia" w:ascii="楷体" w:hAnsi="楷体" w:eastAsia="楷体" w:cs="楷体"/>
          <w:color w:val="000000" w:themeColor="text1"/>
          <w:szCs w:val="32"/>
          <w:lang w:eastAsia="zh-CN"/>
          <w14:textFill>
            <w14:solidFill>
              <w14:schemeClr w14:val="tx1"/>
            </w14:solidFill>
          </w14:textFill>
        </w:rPr>
      </w:pPr>
      <w:r>
        <w:rPr>
          <w:rFonts w:hint="eastAsia" w:ascii="楷体" w:hAnsi="楷体" w:eastAsia="楷体" w:cs="楷体"/>
          <w:color w:val="000000" w:themeColor="text1"/>
          <w:szCs w:val="32"/>
          <w:lang w:val="en-US" w:eastAsia="zh-CN"/>
          <w14:textFill>
            <w14:solidFill>
              <w14:schemeClr w14:val="tx1"/>
            </w14:solidFill>
          </w14:textFill>
        </w:rPr>
        <w:t>6</w:t>
      </w:r>
      <w:r>
        <w:rPr>
          <w:rFonts w:hint="eastAsia" w:ascii="楷体" w:hAnsi="楷体" w:eastAsia="楷体" w:cs="楷体"/>
          <w:color w:val="000000" w:themeColor="text1"/>
          <w:szCs w:val="32"/>
          <w:lang w:eastAsia="zh-CN"/>
          <w14:textFill>
            <w14:solidFill>
              <w14:schemeClr w14:val="tx1"/>
            </w14:solidFill>
          </w14:textFill>
        </w:rPr>
        <w:t>. 钢结构脚手架费用怎么计算？</w:t>
      </w:r>
    </w:p>
    <w:p>
      <w:pPr>
        <w:spacing w:line="600" w:lineRule="exact"/>
        <w:ind w:firstLine="640" w:firstLineChars="200"/>
        <w:rPr>
          <w:rFonts w:hint="eastAsia" w:ascii="方正仿宋简体" w:hAnsi="方正仿宋简体" w:eastAsia="方正仿宋简体" w:cs="方正仿宋简体"/>
          <w:color w:val="000000" w:themeColor="text1"/>
          <w14:textFill>
            <w14:solidFill>
              <w14:schemeClr w14:val="tx1"/>
            </w14:solidFill>
          </w14:textFill>
        </w:rPr>
      </w:pPr>
      <w:r>
        <w:rPr>
          <w:rFonts w:hint="eastAsia" w:ascii="方正仿宋简体" w:hAnsi="方正仿宋简体" w:eastAsia="方正仿宋简体" w:cs="方正仿宋简体"/>
          <w:color w:val="000000" w:themeColor="text1"/>
          <w14:textFill>
            <w14:solidFill>
              <w14:schemeClr w14:val="tx1"/>
            </w14:solidFill>
          </w14:textFill>
        </w:rPr>
        <w:t>按实际搭设方案计取。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 xml:space="preserve">7. </w:t>
      </w:r>
      <w:r>
        <w:rPr>
          <w:rFonts w:hint="eastAsia" w:ascii="楷体" w:hAnsi="楷体" w:eastAsia="楷体" w:cs="楷体"/>
          <w:color w:val="000000" w:themeColor="text1"/>
          <w14:textFill>
            <w14:solidFill>
              <w14:schemeClr w14:val="tx1"/>
            </w14:solidFill>
          </w14:textFill>
        </w:rPr>
        <w:t>不锈钢天沟，单层彩钢天沟（A6-60，A6-61），消耗量标准以米为单位计，相应的规格是多大？</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ascii="方正仿宋简体" w:hAnsi="方正仿宋简体" w:eastAsia="方正仿宋简体" w:cs="方正仿宋简体"/>
          <w:color w:val="000000" w:themeColor="text1"/>
          <w:lang w:eastAsia="zh-CN"/>
          <w14:textFill>
            <w14:solidFill>
              <w14:schemeClr w14:val="tx1"/>
            </w14:solidFill>
          </w14:textFill>
        </w:rPr>
        <w:t>子目</w:t>
      </w:r>
      <w:r>
        <w:rPr>
          <w:rFonts w:hint="eastAsia" w:ascii="方正仿宋简体" w:hAnsi="方正仿宋简体" w:eastAsia="方正仿宋简体" w:cs="方正仿宋简体"/>
          <w:color w:val="000000" w:themeColor="text1"/>
          <w14:textFill>
            <w14:solidFill>
              <w14:schemeClr w14:val="tx1"/>
            </w14:solidFill>
          </w14:textFill>
        </w:rPr>
        <w:t>未区分规格，不同规格可按设计调整材料用量，损耗率</w:t>
      </w:r>
      <w:r>
        <w:rPr>
          <w:rFonts w:hint="eastAsia" w:eastAsia="方正仿宋简体"/>
          <w:color w:val="000000" w:themeColor="text1"/>
          <w14:textFill>
            <w14:solidFill>
              <w14:schemeClr w14:val="tx1"/>
            </w14:solidFill>
          </w14:textFill>
        </w:rPr>
        <w:t>为6%。</w:t>
      </w:r>
    </w:p>
    <w:p>
      <w:pPr>
        <w:spacing w:line="600" w:lineRule="exact"/>
        <w:ind w:firstLine="640" w:firstLineChars="200"/>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8</w:t>
      </w:r>
      <w:r>
        <w:rPr>
          <w:rFonts w:hint="eastAsia" w:ascii="楷体" w:hAnsi="楷体" w:eastAsia="楷体" w:cs="楷体"/>
          <w:color w:val="000000" w:themeColor="text1"/>
          <w:lang w:eastAsia="zh-CN"/>
          <w14:textFill>
            <w14:solidFill>
              <w14:schemeClr w14:val="tx1"/>
            </w14:solidFill>
          </w14:textFill>
        </w:rPr>
        <w:t xml:space="preserve">. </w:t>
      </w:r>
      <w:r>
        <w:rPr>
          <w:rFonts w:hint="eastAsia" w:ascii="楷体" w:hAnsi="楷体" w:eastAsia="楷体" w:cs="楷体"/>
          <w:color w:val="000000" w:themeColor="text1"/>
          <w14:textFill>
            <w14:solidFill>
              <w14:schemeClr w14:val="tx1"/>
            </w14:solidFill>
          </w14:textFill>
        </w:rPr>
        <w:t>现浇混凝土楼面板原浆抹平压光或混凝土面随捣随抹如何计算费用？</w:t>
      </w:r>
    </w:p>
    <w:p>
      <w:pPr>
        <w:spacing w:line="600" w:lineRule="exact"/>
        <w:ind w:firstLine="640" w:firstLineChars="200"/>
        <w:rPr>
          <w:rFonts w:hint="eastAsia" w:ascii="方正仿宋简体" w:hAnsi="方正仿宋简体" w:eastAsia="方正仿宋简体" w:cs="方正仿宋简体"/>
          <w:color w:val="000000" w:themeColor="text1"/>
          <w14:textFill>
            <w14:solidFill>
              <w14:schemeClr w14:val="tx1"/>
            </w14:solidFill>
          </w14:textFill>
        </w:rPr>
      </w:pPr>
      <w:r>
        <w:rPr>
          <w:rFonts w:hint="eastAsia" w:ascii="方正仿宋简体" w:hAnsi="方正仿宋简体" w:eastAsia="方正仿宋简体" w:cs="方正仿宋简体"/>
          <w:color w:val="000000" w:themeColor="text1"/>
          <w14:textFill>
            <w14:solidFill>
              <w14:schemeClr w14:val="tx1"/>
            </w14:solidFill>
          </w14:textFill>
        </w:rPr>
        <w:t>有平整度要求需要随光，执行加浆抹光子目，并扣除水泥浆材料费用。</w:t>
      </w:r>
    </w:p>
    <w:p>
      <w:pPr>
        <w:spacing w:line="600" w:lineRule="exact"/>
        <w:ind w:firstLine="640" w:firstLineChars="200"/>
        <w:rPr>
          <w:rFonts w:hint="eastAsia" w:ascii="楷体" w:hAnsi="楷体" w:eastAsia="楷体" w:cs="楷体"/>
          <w:color w:val="000000" w:themeColor="text1"/>
          <w:lang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9</w:t>
      </w:r>
      <w:r>
        <w:rPr>
          <w:rFonts w:hint="eastAsia" w:ascii="楷体" w:hAnsi="楷体" w:eastAsia="楷体" w:cs="楷体"/>
          <w:color w:val="000000" w:themeColor="text1"/>
          <w:lang w:eastAsia="zh-CN"/>
          <w14:textFill>
            <w14:solidFill>
              <w14:schemeClr w14:val="tx1"/>
            </w14:solidFill>
          </w14:textFill>
        </w:rPr>
        <w:t>. 第十二章</w:t>
      </w:r>
      <w:r>
        <w:rPr>
          <w:rFonts w:hint="eastAsia" w:ascii="楷体" w:hAnsi="楷体" w:eastAsia="楷体" w:cs="楷体"/>
          <w:color w:val="000000" w:themeColor="text1"/>
          <w:lang w:val="en-US" w:eastAsia="zh-CN"/>
          <w14:textFill>
            <w14:solidFill>
              <w14:schemeClr w14:val="tx1"/>
            </w14:solidFill>
          </w14:textFill>
        </w:rPr>
        <w:t xml:space="preserve"> </w:t>
      </w:r>
      <w:r>
        <w:rPr>
          <w:rFonts w:hint="eastAsia" w:ascii="楷体" w:hAnsi="楷体" w:eastAsia="楷体" w:cs="楷体"/>
          <w:color w:val="000000" w:themeColor="text1"/>
          <w:lang w:eastAsia="zh-CN"/>
          <w14:textFill>
            <w14:solidFill>
              <w14:schemeClr w14:val="tx1"/>
            </w14:solidFill>
          </w14:textFill>
        </w:rPr>
        <w:t>墙柱面工程中，章说明第四</w:t>
      </w:r>
      <w:r>
        <w:rPr>
          <w:rFonts w:hint="eastAsia" w:ascii="楷体" w:hAnsi="楷体" w:eastAsia="楷体" w:cs="楷体"/>
          <w:color w:val="000000" w:themeColor="text1"/>
          <w:lang w:val="en-US" w:eastAsia="zh-CN"/>
          <w14:textFill>
            <w14:solidFill>
              <w14:schemeClr w14:val="tx1"/>
            </w14:solidFill>
          </w14:textFill>
        </w:rPr>
        <w:t>.4条“</w:t>
      </w:r>
      <w:r>
        <w:rPr>
          <w:rFonts w:hint="eastAsia" w:ascii="楷体" w:hAnsi="楷体" w:eastAsia="楷体" w:cs="楷体"/>
          <w:color w:val="000000" w:themeColor="text1"/>
          <w:lang w:eastAsia="zh-CN"/>
          <w14:textFill>
            <w14:solidFill>
              <w14:schemeClr w14:val="tx1"/>
            </w14:solidFill>
          </w14:textFill>
        </w:rPr>
        <w:t>隔墙（间壁）、</w:t>
      </w:r>
      <w:r>
        <w:rPr>
          <w:rFonts w:hint="eastAsia" w:ascii="楷体" w:hAnsi="楷体" w:eastAsia="楷体" w:cs="楷体"/>
          <w:color w:val="000000" w:themeColor="text1"/>
          <w14:textFill>
            <w14:solidFill>
              <w14:schemeClr w14:val="tx1"/>
            </w14:solidFill>
          </w14:textFill>
        </w:rPr>
        <w:t>隔断（护壁）、幕墙等项目，如设计龙骨间距、规格与标准取定不同时，用量允许调整</w:t>
      </w:r>
      <w:r>
        <w:rPr>
          <w:rFonts w:hint="eastAsia" w:ascii="楷体" w:hAnsi="楷体" w:eastAsia="楷体" w:cs="楷体"/>
          <w:color w:val="000000" w:themeColor="text1"/>
          <w:lang w:eastAsia="zh-CN"/>
          <w14:textFill>
            <w14:solidFill>
              <w14:schemeClr w14:val="tx1"/>
            </w14:solidFill>
          </w14:textFill>
        </w:rPr>
        <w:t>”，</w:t>
      </w:r>
      <w:r>
        <w:rPr>
          <w:rFonts w:hint="eastAsia" w:ascii="楷体" w:hAnsi="楷体" w:eastAsia="楷体" w:cs="楷体"/>
          <w:color w:val="000000" w:themeColor="text1"/>
          <w14:textFill>
            <w14:solidFill>
              <w14:schemeClr w14:val="tx1"/>
            </w14:solidFill>
          </w14:textFill>
        </w:rPr>
        <w:t>执行该条规定时，是否仅调整主材用量，人工机械不调整</w:t>
      </w:r>
      <w:r>
        <w:rPr>
          <w:rFonts w:hint="eastAsia" w:ascii="楷体" w:hAnsi="楷体" w:eastAsia="楷体" w:cs="楷体"/>
          <w:color w:val="000000" w:themeColor="text1"/>
          <w:lang w:eastAsia="zh-CN"/>
          <w14:textFill>
            <w14:solidFill>
              <w14:schemeClr w14:val="tx1"/>
            </w14:solidFill>
          </w14:textFill>
        </w:rPr>
        <w:t>？</w:t>
      </w:r>
    </w:p>
    <w:p>
      <w:pPr>
        <w:spacing w:line="600" w:lineRule="exact"/>
        <w:ind w:firstLine="640" w:firstLineChars="200"/>
        <w:rPr>
          <w:rFonts w:hint="eastAsia" w:ascii="方正仿宋简体" w:hAnsi="方正仿宋简体" w:eastAsia="方正仿宋简体" w:cs="方正仿宋简体"/>
          <w:color w:val="000000" w:themeColor="text1"/>
          <w14:textFill>
            <w14:solidFill>
              <w14:schemeClr w14:val="tx1"/>
            </w14:solidFill>
          </w14:textFill>
        </w:rPr>
      </w:pPr>
      <w:r>
        <w:rPr>
          <w:rFonts w:hint="eastAsia" w:ascii="方正仿宋简体" w:hAnsi="方正仿宋简体" w:eastAsia="方正仿宋简体" w:cs="方正仿宋简体"/>
          <w:color w:val="000000" w:themeColor="text1"/>
          <w14:textFill>
            <w14:solidFill>
              <w14:schemeClr w14:val="tx1"/>
            </w14:solidFill>
          </w14:textFill>
        </w:rPr>
        <w:t>仅调整主材用量。</w:t>
      </w:r>
    </w:p>
    <w:p>
      <w:pPr>
        <w:spacing w:line="600" w:lineRule="exact"/>
        <w:ind w:firstLine="640" w:firstLineChars="200"/>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10</w:t>
      </w:r>
      <w:r>
        <w:rPr>
          <w:rFonts w:hint="eastAsia" w:ascii="楷体" w:hAnsi="楷体" w:eastAsia="楷体" w:cs="楷体"/>
          <w:color w:val="000000" w:themeColor="text1"/>
          <w:lang w:eastAsia="zh-CN"/>
          <w14:textFill>
            <w14:solidFill>
              <w14:schemeClr w14:val="tx1"/>
            </w14:solidFill>
          </w14:textFill>
        </w:rPr>
        <w:t xml:space="preserve">. </w:t>
      </w:r>
      <w:r>
        <w:rPr>
          <w:rFonts w:hint="eastAsia" w:ascii="楷体" w:hAnsi="楷体" w:eastAsia="楷体" w:cs="楷体"/>
          <w:color w:val="000000" w:themeColor="text1"/>
          <w14:textFill>
            <w14:solidFill>
              <w14:schemeClr w14:val="tx1"/>
            </w14:solidFill>
          </w14:textFill>
        </w:rPr>
        <w:t>体育馆阶梯看台下吊顶，吊顶面层是在同一标高，但是顶部是阶梯状，吊筋长度不一致，能否</w:t>
      </w:r>
      <w:r>
        <w:rPr>
          <w:rFonts w:hint="eastAsia" w:ascii="楷体" w:hAnsi="楷体" w:eastAsia="楷体" w:cs="楷体"/>
          <w:color w:val="000000" w:themeColor="text1"/>
          <w:lang w:eastAsia="zh-CN"/>
          <w14:textFill>
            <w14:solidFill>
              <w14:schemeClr w14:val="tx1"/>
            </w14:solidFill>
          </w14:textFill>
        </w:rPr>
        <w:t>执行</w:t>
      </w:r>
      <w:r>
        <w:rPr>
          <w:rFonts w:hint="eastAsia" w:ascii="楷体" w:hAnsi="楷体" w:eastAsia="楷体" w:cs="楷体"/>
          <w:color w:val="000000" w:themeColor="text1"/>
          <w14:textFill>
            <w14:solidFill>
              <w14:schemeClr w14:val="tx1"/>
            </w14:solidFill>
          </w14:textFill>
        </w:rPr>
        <w:t>跌级天棚</w:t>
      </w:r>
      <w:r>
        <w:rPr>
          <w:rFonts w:hint="eastAsia" w:ascii="楷体" w:hAnsi="楷体" w:eastAsia="楷体" w:cs="楷体"/>
          <w:color w:val="000000" w:themeColor="text1"/>
          <w:lang w:eastAsia="zh-CN"/>
          <w14:textFill>
            <w14:solidFill>
              <w14:schemeClr w14:val="tx1"/>
            </w14:solidFill>
          </w14:textFill>
        </w:rPr>
        <w:t>子目</w:t>
      </w:r>
      <w:r>
        <w:rPr>
          <w:rFonts w:hint="eastAsia" w:ascii="楷体" w:hAnsi="楷体" w:eastAsia="楷体" w:cs="楷体"/>
          <w:color w:val="000000" w:themeColor="text1"/>
          <w14:textFill>
            <w14:solidFill>
              <w14:schemeClr w14:val="tx1"/>
            </w14:solidFill>
          </w14:textFill>
        </w:rPr>
        <w:t>计价？</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ascii="方正仿宋简体" w:hAnsi="方正仿宋简体" w:eastAsia="方正仿宋简体" w:cs="方正仿宋简体"/>
          <w:color w:val="000000" w:themeColor="text1"/>
          <w14:textFill>
            <w14:solidFill>
              <w14:schemeClr w14:val="tx1"/>
            </w14:solidFill>
          </w14:textFill>
        </w:rPr>
        <w:t>执行平面天棚相应子目，可调整吊筋用量，用量差按铁</w:t>
      </w:r>
      <w:r>
        <w:rPr>
          <w:rFonts w:hint="eastAsia" w:eastAsia="方正仿宋简体"/>
          <w:color w:val="000000" w:themeColor="text1"/>
          <w14:textFill>
            <w14:solidFill>
              <w14:schemeClr w14:val="tx1"/>
            </w14:solidFill>
          </w14:textFill>
        </w:rPr>
        <w:t>件套用相应子目。</w:t>
      </w:r>
    </w:p>
    <w:p>
      <w:pPr>
        <w:spacing w:line="600" w:lineRule="exact"/>
        <w:ind w:firstLine="640" w:firstLineChars="200"/>
        <w:rPr>
          <w:rFonts w:hint="eastAsia" w:ascii="楷体" w:hAnsi="楷体" w:eastAsia="楷体" w:cs="楷体"/>
          <w:color w:val="000000" w:themeColor="text1"/>
          <w:szCs w:val="32"/>
          <w:lang w:eastAsia="zh-CN"/>
          <w14:textFill>
            <w14:solidFill>
              <w14:schemeClr w14:val="tx1"/>
            </w14:solidFill>
          </w14:textFill>
        </w:rPr>
      </w:pPr>
      <w:r>
        <w:rPr>
          <w:rFonts w:hint="eastAsia" w:ascii="楷体" w:hAnsi="楷体" w:eastAsia="楷体" w:cs="楷体"/>
          <w:color w:val="000000" w:themeColor="text1"/>
          <w:szCs w:val="32"/>
          <w:lang w:val="en-US" w:eastAsia="zh-CN"/>
          <w14:textFill>
            <w14:solidFill>
              <w14:schemeClr w14:val="tx1"/>
            </w14:solidFill>
          </w14:textFill>
        </w:rPr>
        <w:t>11</w:t>
      </w:r>
      <w:r>
        <w:rPr>
          <w:rFonts w:hint="eastAsia" w:ascii="楷体" w:hAnsi="楷体" w:eastAsia="楷体" w:cs="楷体"/>
          <w:color w:val="000000" w:themeColor="text1"/>
          <w:szCs w:val="32"/>
          <w:lang w:eastAsia="zh-CN"/>
          <w14:textFill>
            <w14:solidFill>
              <w14:schemeClr w14:val="tx1"/>
            </w14:solidFill>
          </w14:textFill>
        </w:rPr>
        <w:t>. 窗户安装子目分固定窗、推拉窗和平开窗，组合型的窗户如何套价?</w:t>
      </w:r>
    </w:p>
    <w:p>
      <w:pPr>
        <w:spacing w:line="600" w:lineRule="exact"/>
        <w:ind w:firstLine="640" w:firstLineChars="200"/>
        <w:rPr>
          <w:rFonts w:hint="eastAsia" w:ascii="方正仿宋简体" w:hAnsi="方正仿宋简体" w:eastAsia="方正仿宋简体" w:cs="方正仿宋简体"/>
          <w:color w:val="000000" w:themeColor="text1"/>
          <w14:textFill>
            <w14:solidFill>
              <w14:schemeClr w14:val="tx1"/>
            </w14:solidFill>
          </w14:textFill>
        </w:rPr>
      </w:pPr>
      <w:r>
        <w:rPr>
          <w:rFonts w:hint="eastAsia" w:ascii="方正仿宋简体" w:hAnsi="方正仿宋简体" w:eastAsia="方正仿宋简体" w:cs="方正仿宋简体"/>
          <w:color w:val="000000" w:themeColor="text1"/>
          <w14:textFill>
            <w14:solidFill>
              <w14:schemeClr w14:val="tx1"/>
            </w14:solidFill>
          </w14:textFill>
        </w:rPr>
        <w:t>按实际组合情况分别计算。</w:t>
      </w:r>
    </w:p>
    <w:p>
      <w:pPr>
        <w:spacing w:line="600" w:lineRule="exact"/>
        <w:ind w:firstLine="640" w:firstLineChars="200"/>
        <w:rPr>
          <w:rFonts w:hint="eastAsia" w:ascii="楷体" w:hAnsi="楷体" w:eastAsia="楷体" w:cs="楷体"/>
          <w:color w:val="000000" w:themeColor="text1"/>
          <w:szCs w:val="32"/>
          <w:lang w:eastAsia="zh-CN"/>
          <w14:textFill>
            <w14:solidFill>
              <w14:schemeClr w14:val="tx1"/>
            </w14:solidFill>
          </w14:textFill>
        </w:rPr>
      </w:pPr>
      <w:r>
        <w:rPr>
          <w:rFonts w:hint="eastAsia" w:ascii="楷体" w:hAnsi="楷体" w:eastAsia="楷体" w:cs="楷体"/>
          <w:color w:val="000000" w:themeColor="text1"/>
          <w:szCs w:val="32"/>
          <w:lang w:val="en-US" w:eastAsia="zh-CN"/>
          <w14:textFill>
            <w14:solidFill>
              <w14:schemeClr w14:val="tx1"/>
            </w14:solidFill>
          </w14:textFill>
        </w:rPr>
        <w:t>12</w:t>
      </w:r>
      <w:r>
        <w:rPr>
          <w:rFonts w:hint="eastAsia" w:ascii="楷体" w:hAnsi="楷体" w:eastAsia="楷体" w:cs="楷体"/>
          <w:color w:val="000000" w:themeColor="text1"/>
          <w:szCs w:val="32"/>
          <w:lang w:eastAsia="zh-CN"/>
          <w14:textFill>
            <w14:solidFill>
              <w14:schemeClr w14:val="tx1"/>
            </w14:solidFill>
          </w14:textFill>
        </w:rPr>
        <w:t>. 综合脚手架高度套取规则为檐口高度至设计室外地坪，现场施工搭设时实际室外地坪低于设计室外地坪（例子：实际搭设为地下室顶板，顶板与设计地坪存在1.5m的高差），套取规则是否应考虑此高差？</w:t>
      </w:r>
    </w:p>
    <w:p>
      <w:pPr>
        <w:spacing w:line="600" w:lineRule="exact"/>
        <w:ind w:firstLine="640" w:firstLineChars="200"/>
        <w:rPr>
          <w:rFonts w:hint="eastAsia" w:eastAsia="方正仿宋简体"/>
          <w:color w:val="000000" w:themeColor="text1"/>
          <w:szCs w:val="32"/>
          <w:lang w:eastAsia="zh-CN"/>
          <w14:textFill>
            <w14:solidFill>
              <w14:schemeClr w14:val="tx1"/>
            </w14:solidFill>
          </w14:textFill>
        </w:rPr>
      </w:pPr>
      <w:r>
        <w:rPr>
          <w:rFonts w:hint="eastAsia" w:eastAsia="方正仿宋简体"/>
          <w:color w:val="000000" w:themeColor="text1"/>
          <w:szCs w:val="32"/>
          <w:lang w:eastAsia="zh-CN"/>
          <w14:textFill>
            <w14:solidFill>
              <w14:schemeClr w14:val="tx1"/>
            </w14:solidFill>
          </w14:textFill>
        </w:rPr>
        <w:t>综合脚手架高度按设计室外地坪到檐口滴水高度计算。</w:t>
      </w:r>
    </w:p>
    <w:p>
      <w:pPr>
        <w:spacing w:line="600" w:lineRule="exact"/>
        <w:ind w:firstLine="640" w:firstLineChars="200"/>
        <w:rPr>
          <w:rFonts w:hint="eastAsia" w:ascii="楷体" w:hAnsi="楷体" w:eastAsia="楷体" w:cs="楷体"/>
          <w:color w:val="000000" w:themeColor="text1"/>
          <w:szCs w:val="32"/>
          <w:lang w:eastAsia="zh-CN"/>
          <w14:textFill>
            <w14:solidFill>
              <w14:schemeClr w14:val="tx1"/>
            </w14:solidFill>
          </w14:textFill>
        </w:rPr>
      </w:pPr>
      <w:r>
        <w:rPr>
          <w:rFonts w:hint="eastAsia" w:ascii="楷体" w:hAnsi="楷体" w:eastAsia="楷体" w:cs="楷体"/>
          <w:color w:val="000000" w:themeColor="text1"/>
          <w:szCs w:val="32"/>
          <w:lang w:val="en-US" w:eastAsia="zh-CN"/>
          <w14:textFill>
            <w14:solidFill>
              <w14:schemeClr w14:val="tx1"/>
            </w14:solidFill>
          </w14:textFill>
        </w:rPr>
        <w:t>13</w:t>
      </w:r>
      <w:r>
        <w:rPr>
          <w:rFonts w:hint="eastAsia" w:ascii="楷体" w:hAnsi="楷体" w:eastAsia="楷体" w:cs="楷体"/>
          <w:color w:val="000000" w:themeColor="text1"/>
          <w:szCs w:val="32"/>
          <w:lang w:eastAsia="zh-CN"/>
          <w14:textFill>
            <w14:solidFill>
              <w14:schemeClr w14:val="tx1"/>
            </w14:solidFill>
          </w14:textFill>
        </w:rPr>
        <w:t>. A19-35墙面对拉螺栓堵眼增加费</w:t>
      </w:r>
      <w:r>
        <w:rPr>
          <w:rFonts w:hint="eastAsia" w:ascii="楷体" w:hAnsi="楷体" w:eastAsia="楷体" w:cs="楷体"/>
          <w:color w:val="000000" w:themeColor="text1"/>
          <w:szCs w:val="32"/>
          <w:lang w:val="en-US" w:eastAsia="zh-CN"/>
          <w14:textFill>
            <w14:solidFill>
              <w14:schemeClr w14:val="tx1"/>
            </w14:solidFill>
          </w14:textFill>
        </w:rPr>
        <w:t>是</w:t>
      </w:r>
      <w:r>
        <w:rPr>
          <w:rFonts w:hint="eastAsia" w:ascii="楷体" w:hAnsi="楷体" w:eastAsia="楷体" w:cs="楷体"/>
          <w:color w:val="000000" w:themeColor="text1"/>
          <w:szCs w:val="32"/>
          <w:lang w:eastAsia="zh-CN"/>
          <w14:textFill>
            <w14:solidFill>
              <w14:schemeClr w14:val="tx1"/>
            </w14:solidFill>
          </w14:textFill>
        </w:rPr>
        <w:t>按墙</w:t>
      </w:r>
      <w:r>
        <w:rPr>
          <w:rFonts w:hint="eastAsia" w:ascii="楷体" w:hAnsi="楷体" w:eastAsia="楷体" w:cs="楷体"/>
          <w:color w:val="000000" w:themeColor="text1"/>
          <w:szCs w:val="32"/>
          <w:lang w:val="en-US" w:eastAsia="zh-CN"/>
          <w14:textFill>
            <w14:solidFill>
              <w14:schemeClr w14:val="tx1"/>
            </w14:solidFill>
          </w14:textFill>
        </w:rPr>
        <w:t>一侧的</w:t>
      </w:r>
      <w:r>
        <w:rPr>
          <w:rFonts w:hint="eastAsia" w:ascii="楷体" w:hAnsi="楷体" w:eastAsia="楷体" w:cs="楷体"/>
          <w:color w:val="000000" w:themeColor="text1"/>
          <w:szCs w:val="32"/>
          <w:lang w:eastAsia="zh-CN"/>
          <w14:textFill>
            <w14:solidFill>
              <w14:schemeClr w14:val="tx1"/>
            </w14:solidFill>
          </w14:textFill>
        </w:rPr>
        <w:t>面积还是两</w:t>
      </w:r>
      <w:r>
        <w:rPr>
          <w:rFonts w:hint="eastAsia" w:ascii="楷体" w:hAnsi="楷体" w:eastAsia="楷体" w:cs="楷体"/>
          <w:color w:val="000000" w:themeColor="text1"/>
          <w:szCs w:val="32"/>
          <w:lang w:val="en-US" w:eastAsia="zh-CN"/>
          <w14:textFill>
            <w14:solidFill>
              <w14:schemeClr w14:val="tx1"/>
            </w14:solidFill>
          </w14:textFill>
        </w:rPr>
        <w:t>侧</w:t>
      </w:r>
      <w:r>
        <w:rPr>
          <w:rFonts w:hint="eastAsia" w:ascii="楷体" w:hAnsi="楷体" w:eastAsia="楷体" w:cs="楷体"/>
          <w:color w:val="000000" w:themeColor="text1"/>
          <w:szCs w:val="32"/>
          <w:lang w:eastAsia="zh-CN"/>
          <w14:textFill>
            <w14:solidFill>
              <w14:schemeClr w14:val="tx1"/>
            </w14:solidFill>
          </w14:textFill>
        </w:rPr>
        <w:t>的面积</w:t>
      </w:r>
      <w:r>
        <w:rPr>
          <w:rFonts w:hint="eastAsia" w:ascii="楷体" w:hAnsi="楷体" w:eastAsia="楷体" w:cs="楷体"/>
          <w:color w:val="000000" w:themeColor="text1"/>
          <w:szCs w:val="32"/>
          <w:lang w:val="en-US" w:eastAsia="zh-CN"/>
          <w14:textFill>
            <w14:solidFill>
              <w14:schemeClr w14:val="tx1"/>
            </w14:solidFill>
          </w14:textFill>
        </w:rPr>
        <w:t>计算？</w:t>
      </w:r>
    </w:p>
    <w:p>
      <w:pPr>
        <w:spacing w:line="600" w:lineRule="exact"/>
        <w:ind w:firstLine="640" w:firstLineChars="200"/>
        <w:rPr>
          <w:rFonts w:hint="eastAsia" w:eastAsia="方正仿宋简体"/>
          <w:color w:val="000000" w:themeColor="text1"/>
          <w:szCs w:val="32"/>
          <w:lang w:eastAsia="zh-CN"/>
          <w14:textFill>
            <w14:solidFill>
              <w14:schemeClr w14:val="tx1"/>
            </w14:solidFill>
          </w14:textFill>
        </w:rPr>
      </w:pPr>
      <w:r>
        <w:rPr>
          <w:rFonts w:hint="eastAsia" w:eastAsia="方正仿宋简体"/>
          <w:color w:val="000000" w:themeColor="text1"/>
          <w:szCs w:val="32"/>
          <w:lang w:eastAsia="zh-CN"/>
          <w14:textFill>
            <w14:solidFill>
              <w14:schemeClr w14:val="tx1"/>
            </w14:solidFill>
          </w14:textFill>
        </w:rPr>
        <w:t>对拉螺栓堵眼增加费工程量按外墙迎水面的面积计算。</w:t>
      </w:r>
    </w:p>
    <w:p>
      <w:pPr>
        <w:pStyle w:val="12"/>
        <w:keepNext w:val="0"/>
        <w:keepLines w:val="0"/>
        <w:pageBreakBefore w:val="0"/>
        <w:widowControl w:val="0"/>
        <w:kinsoku/>
        <w:wordWrap/>
        <w:overflowPunct/>
        <w:topLinePunct w:val="0"/>
        <w:autoSpaceDE/>
        <w:autoSpaceDN/>
        <w:bidi w:val="0"/>
        <w:adjustRightInd/>
        <w:snapToGrid/>
        <w:spacing w:before="576" w:beforeLines="100" w:after="576" w:afterLines="100" w:line="600" w:lineRule="exact"/>
        <w:ind w:firstLine="643" w:firstLineChars="200"/>
        <w:textAlignment w:val="auto"/>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三、安装工程</w:t>
      </w:r>
    </w:p>
    <w:p>
      <w:pPr>
        <w:spacing w:line="600" w:lineRule="exact"/>
        <w:ind w:firstLine="640" w:firstLineChars="200"/>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1. 2020年《湖南省安装工程消耗量标准》中部分专业册说明中有拆除系数的规定，与2005版《湖南省房屋修缮工程计价定额》中安装部分内容重复，应执行哪个规定？</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2005版《湖南省房屋修缮工程计价定额》已正式发文废止。2020年《湖南省安装工程消耗量标准》中规定有拆除系数的，按照规定系数计算拆除费用；无拆除系数相关规定的，由甲乙双方协商计取。</w:t>
      </w:r>
    </w:p>
    <w:p>
      <w:pPr>
        <w:spacing w:line="600" w:lineRule="exact"/>
        <w:ind w:firstLine="640" w:firstLineChars="200"/>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2. 《湖南省房屋改造加固及维修工程消耗量标准》中无安装工程修缮内容，发生关于安装工程的修缮应如何计价？什么情况属于安装修缮工程？</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安装修缮工程指在已竣工交付使用的工业与民用建筑上进行安装项目的拆除、维修、改造、更换等施工作业，而非新建、扩建、改建工程。</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安装修缮工程执行现行《湖南省安装工程消耗量标准》相应项目时，其人工和机械乘以系数1.15。</w:t>
      </w:r>
    </w:p>
    <w:p>
      <w:pPr>
        <w:spacing w:line="600" w:lineRule="exact"/>
        <w:ind w:firstLine="640" w:firstLineChars="200"/>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3</w:t>
      </w:r>
      <w:r>
        <w:rPr>
          <w:rFonts w:hint="eastAsia" w:ascii="楷体" w:hAnsi="楷体" w:eastAsia="楷体" w:cs="楷体"/>
          <w:color w:val="000000" w:themeColor="text1"/>
          <w14:textFill>
            <w14:solidFill>
              <w14:schemeClr w14:val="tx1"/>
            </w14:solidFill>
          </w14:textFill>
        </w:rPr>
        <w:t>. 什么情况下计算风机和泵的拆装检查费用？第一册</w:t>
      </w:r>
      <w:r>
        <w:rPr>
          <w:rFonts w:hint="eastAsia" w:ascii="楷体" w:hAnsi="楷体" w:eastAsia="楷体" w:cs="楷体"/>
          <w:color w:val="000000" w:themeColor="text1"/>
          <w:lang w:eastAsia="zh-CN"/>
          <w14:textFill>
            <w14:solidFill>
              <w14:schemeClr w14:val="tx1"/>
            </w14:solidFill>
          </w14:textFill>
        </w:rPr>
        <w:t>中</w:t>
      </w:r>
      <w:r>
        <w:rPr>
          <w:rFonts w:hint="eastAsia" w:ascii="楷体" w:hAnsi="楷体" w:eastAsia="楷体" w:cs="楷体"/>
          <w:color w:val="000000" w:themeColor="text1"/>
          <w14:textFill>
            <w14:solidFill>
              <w14:schemeClr w14:val="tx1"/>
            </w14:solidFill>
          </w14:textFill>
        </w:rPr>
        <w:t>风机</w:t>
      </w:r>
      <w:r>
        <w:rPr>
          <w:rFonts w:hint="eastAsia" w:ascii="楷体" w:hAnsi="楷体" w:eastAsia="楷体" w:cs="楷体"/>
          <w:color w:val="000000" w:themeColor="text1"/>
          <w:lang w:eastAsia="zh-CN"/>
          <w14:textFill>
            <w14:solidFill>
              <w14:schemeClr w14:val="tx1"/>
            </w14:solidFill>
          </w14:textFill>
        </w:rPr>
        <w:t>与</w:t>
      </w:r>
      <w:r>
        <w:rPr>
          <w:rFonts w:hint="eastAsia" w:ascii="楷体" w:hAnsi="楷体" w:eastAsia="楷体" w:cs="楷体"/>
          <w:color w:val="000000" w:themeColor="text1"/>
          <w14:textFill>
            <w14:solidFill>
              <w14:schemeClr w14:val="tx1"/>
            </w14:solidFill>
          </w14:textFill>
        </w:rPr>
        <w:t>泵</w:t>
      </w:r>
      <w:r>
        <w:rPr>
          <w:rFonts w:hint="eastAsia" w:ascii="楷体" w:hAnsi="楷体" w:eastAsia="楷体" w:cs="楷体"/>
          <w:color w:val="000000" w:themeColor="text1"/>
          <w:lang w:eastAsia="zh-CN"/>
          <w14:textFill>
            <w14:solidFill>
              <w14:schemeClr w14:val="tx1"/>
            </w14:solidFill>
          </w14:textFill>
        </w:rPr>
        <w:t>的</w:t>
      </w:r>
      <w:r>
        <w:rPr>
          <w:rFonts w:hint="eastAsia" w:ascii="楷体" w:hAnsi="楷体" w:eastAsia="楷体" w:cs="楷体"/>
          <w:color w:val="000000" w:themeColor="text1"/>
          <w14:textFill>
            <w14:solidFill>
              <w14:schemeClr w14:val="tx1"/>
            </w14:solidFill>
          </w14:textFill>
        </w:rPr>
        <w:t>拆装检查子目中是否包含检查后重新安装的工作内容？</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风机、泵设备凡是按相关规范规定必须进行拆装检查工作的，或因设备久置、受潮等原因，建设单位或设计部门提出进行拆装检查的，且实际上做了该项工作，并有双方签字的拆装检查施工记录时，可计取拆装检查费用。</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拆装检查子目中不包括设备拆装检查后的重新安装，设备安装应另执行相应子目计算。</w:t>
      </w:r>
    </w:p>
    <w:p>
      <w:pPr>
        <w:spacing w:line="600" w:lineRule="exact"/>
        <w:ind w:firstLine="640" w:firstLineChars="200"/>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4</w:t>
      </w:r>
      <w:r>
        <w:rPr>
          <w:rFonts w:hint="eastAsia" w:ascii="楷体" w:hAnsi="楷体" w:eastAsia="楷体" w:cs="楷体"/>
          <w:color w:val="000000" w:themeColor="text1"/>
          <w14:textFill>
            <w14:solidFill>
              <w14:schemeClr w14:val="tx1"/>
            </w14:solidFill>
          </w14:textFill>
        </w:rPr>
        <w:t>. 第一册、第二册和第七册中的风机安装适用范围如何划分？</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第一册中的风机安装是各类工业新建、扩建及技术改造项目的风机安装；第二册中的风机安装是火力发电、供热工程中的锅炉设备安装的附属机械或辅助设备安装；第七册中的风机是为生产、生活服务的通风空调风机设备安装。</w:t>
      </w:r>
    </w:p>
    <w:p>
      <w:pPr>
        <w:spacing w:line="600" w:lineRule="exact"/>
        <w:ind w:firstLine="640" w:firstLineChars="200"/>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5. 第四册电气设备安装工程中地下定向钻孔，工程量按工作</w:t>
      </w:r>
      <w:r>
        <w:rPr>
          <w:rFonts w:hint="eastAsia" w:ascii="楷体" w:hAnsi="楷体" w:eastAsia="楷体" w:cs="楷体"/>
          <w:color w:val="000000" w:themeColor="text1"/>
          <w14:textFill>
            <w14:solidFill>
              <w14:schemeClr w14:val="tx1"/>
            </w14:solidFill>
          </w14:textFill>
        </w:rPr>
        <w:t>坑间的水平长度还是按实际钻孔的曲线长度计算？</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ascii="方正仿宋简体" w:hAnsi="方正仿宋简体" w:eastAsia="方正仿宋简体" w:cs="方正仿宋简体"/>
          <w:color w:val="000000" w:themeColor="text1"/>
          <w14:textFill>
            <w14:solidFill>
              <w14:schemeClr w14:val="tx1"/>
            </w14:solidFill>
          </w14:textFill>
        </w:rPr>
        <w:t>工</w:t>
      </w:r>
      <w:r>
        <w:rPr>
          <w:rFonts w:hint="eastAsia" w:eastAsia="方正仿宋简体"/>
          <w:color w:val="000000" w:themeColor="text1"/>
          <w14:textFill>
            <w14:solidFill>
              <w14:schemeClr w14:val="tx1"/>
            </w14:solidFill>
          </w14:textFill>
        </w:rPr>
        <w:t>程量按工作坑间的水平长度计算</w:t>
      </w:r>
      <w:r>
        <w:rPr>
          <w:rFonts w:hint="eastAsia" w:eastAsia="方正仿宋简体"/>
          <w:color w:val="000000" w:themeColor="text1"/>
          <w:lang w:eastAsia="zh-CN"/>
          <w14:textFill>
            <w14:solidFill>
              <w14:schemeClr w14:val="tx1"/>
            </w14:solidFill>
          </w14:textFill>
        </w:rPr>
        <w:t>，</w:t>
      </w:r>
      <w:r>
        <w:rPr>
          <w:rFonts w:hint="eastAsia" w:eastAsia="方正仿宋简体"/>
          <w:color w:val="000000" w:themeColor="text1"/>
          <w14:textFill>
            <w14:solidFill>
              <w14:schemeClr w14:val="tx1"/>
            </w14:solidFill>
          </w14:textFill>
        </w:rPr>
        <w:t>主材可按实际曲线长度加损耗率调整。</w:t>
      </w:r>
    </w:p>
    <w:p>
      <w:pPr>
        <w:spacing w:line="600" w:lineRule="exact"/>
        <w:ind w:firstLine="640" w:firstLineChars="200"/>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6</w:t>
      </w:r>
      <w:r>
        <w:rPr>
          <w:rFonts w:hint="eastAsia" w:ascii="楷体" w:hAnsi="楷体" w:eastAsia="楷体" w:cs="楷体"/>
          <w:color w:val="000000" w:themeColor="text1"/>
          <w14:textFill>
            <w14:solidFill>
              <w14:schemeClr w14:val="tx1"/>
            </w14:solidFill>
          </w14:textFill>
        </w:rPr>
        <w:t>. C4-956柱主筋与圈梁钢筋焊接子目是按几根主筋焊接考虑的？</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柱主筋与圈梁钢筋焊接是按2根主筋分别与2根圈梁钢筋焊接连接考虑，按工程量1处计算。当焊接主筋与圈梁钢筋超过2根时，可按比例调整项目安装费。</w:t>
      </w:r>
    </w:p>
    <w:p>
      <w:pPr>
        <w:spacing w:line="600" w:lineRule="exact"/>
        <w:ind w:firstLine="640" w:firstLineChars="200"/>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7</w:t>
      </w:r>
      <w:r>
        <w:rPr>
          <w:rFonts w:hint="eastAsia" w:ascii="楷体" w:hAnsi="楷体" w:eastAsia="楷体" w:cs="楷体"/>
          <w:color w:val="000000" w:themeColor="text1"/>
          <w14:textFill>
            <w14:solidFill>
              <w14:schemeClr w14:val="tx1"/>
            </w14:solidFill>
          </w14:textFill>
        </w:rPr>
        <w:t xml:space="preserve">. </w:t>
      </w:r>
      <w:r>
        <w:rPr>
          <w:rFonts w:hint="eastAsia" w:ascii="楷体" w:hAnsi="楷体" w:eastAsia="楷体" w:cs="楷体"/>
          <w:color w:val="000000" w:themeColor="text1"/>
          <w:lang w:val="en-US" w:eastAsia="zh-CN"/>
          <w14:textFill>
            <w14:solidFill>
              <w14:schemeClr w14:val="tx1"/>
            </w14:solidFill>
          </w14:textFill>
        </w:rPr>
        <w:t>第四册</w:t>
      </w:r>
      <w:r>
        <w:rPr>
          <w:rFonts w:hint="eastAsia" w:ascii="楷体" w:hAnsi="楷体" w:eastAsia="楷体" w:cs="楷体"/>
          <w:color w:val="000000" w:themeColor="text1"/>
          <w14:textFill>
            <w14:solidFill>
              <w14:schemeClr w14:val="tx1"/>
            </w14:solidFill>
          </w14:textFill>
        </w:rPr>
        <w:t>第九章保护接地中的电解质离子接地极计量单位为“套”，一套电解质离子接地极包含哪些内容？</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ascii="方正仿宋简体" w:hAnsi="方正仿宋简体" w:eastAsia="方正仿宋简体" w:cs="方正仿宋简体"/>
          <w:color w:val="000000" w:themeColor="text1"/>
          <w14:textFill>
            <w14:solidFill>
              <w14:schemeClr w14:val="tx1"/>
            </w14:solidFill>
          </w14:textFill>
        </w:rPr>
        <w:t>电</w:t>
      </w:r>
      <w:r>
        <w:rPr>
          <w:rFonts w:hint="eastAsia" w:eastAsia="方正仿宋简体"/>
          <w:color w:val="000000" w:themeColor="text1"/>
          <w14:textFill>
            <w14:solidFill>
              <w14:schemeClr w14:val="tx1"/>
            </w14:solidFill>
          </w14:textFill>
        </w:rPr>
        <w:t>解质离子接地极是由离子接地极管、接地极内部离子发生装置、接地极外部专用填充料等一套部件组成。</w:t>
      </w:r>
    </w:p>
    <w:p>
      <w:pPr>
        <w:spacing w:line="600" w:lineRule="exact"/>
        <w:ind w:firstLine="640" w:firstLineChars="200"/>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8</w:t>
      </w:r>
      <w:r>
        <w:rPr>
          <w:rFonts w:hint="eastAsia" w:ascii="楷体" w:hAnsi="楷体" w:eastAsia="楷体" w:cs="楷体"/>
          <w:color w:val="000000" w:themeColor="text1"/>
          <w14:textFill>
            <w14:solidFill>
              <w14:schemeClr w14:val="tx1"/>
            </w14:solidFill>
          </w14:textFill>
        </w:rPr>
        <w:t xml:space="preserve">. </w:t>
      </w:r>
      <w:r>
        <w:rPr>
          <w:rFonts w:hint="eastAsia" w:ascii="楷体" w:hAnsi="楷体" w:eastAsia="楷体" w:cs="楷体"/>
          <w:color w:val="000000" w:themeColor="text1"/>
          <w:lang w:val="en-US" w:eastAsia="zh-CN"/>
          <w14:textFill>
            <w14:solidFill>
              <w14:schemeClr w14:val="tx1"/>
            </w14:solidFill>
          </w14:textFill>
        </w:rPr>
        <w:t>第四册</w:t>
      </w:r>
      <w:r>
        <w:rPr>
          <w:rFonts w:hint="eastAsia" w:ascii="楷体" w:hAnsi="楷体" w:eastAsia="楷体" w:cs="楷体"/>
          <w:color w:val="000000" w:themeColor="text1"/>
          <w14:textFill>
            <w14:solidFill>
              <w14:schemeClr w14:val="tx1"/>
            </w14:solidFill>
          </w14:textFill>
        </w:rPr>
        <w:t>第十章说明中第八条“线路一次施工工程量按5根以上电杆考虑，如一次施工5根以内者，其全部人工费、机械费乘以系数1.3”，这里是单指组立电杆子目乘以系数还是指所有杆线子目都可以乘以该系数？</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此系数是针对一条架空线路的工程量较小（5基以下）时，对人工和机械效率的补偿系数，执行本章相关子目均可乘以该系数。</w:t>
      </w:r>
    </w:p>
    <w:p>
      <w:pPr>
        <w:spacing w:line="600" w:lineRule="exact"/>
        <w:ind w:firstLine="640" w:firstLineChars="200"/>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9</w:t>
      </w:r>
      <w:r>
        <w:rPr>
          <w:rFonts w:hint="eastAsia" w:ascii="楷体" w:hAnsi="楷体" w:eastAsia="楷体" w:cs="楷体"/>
          <w:color w:val="000000" w:themeColor="text1"/>
          <w14:textFill>
            <w14:solidFill>
              <w14:schemeClr w14:val="tx1"/>
            </w14:solidFill>
          </w14:textFill>
        </w:rPr>
        <w:t>. C4-1988 C20钢筋混凝土基础子目的螺纹钢筋材料消耗量可否根据设计基础图钢筋用量进行调整？该子目中是否包含路灯基础中的预埋钢板？</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该子目中的螺纹钢筋材料消耗量可按设计图示钢筋用量调整</w:t>
      </w:r>
      <w:r>
        <w:rPr>
          <w:rFonts w:hint="eastAsia" w:eastAsia="方正仿宋简体"/>
          <w:color w:val="000000" w:themeColor="text1"/>
          <w:lang w:val="en-US" w:eastAsia="zh-CN"/>
          <w14:textFill>
            <w14:solidFill>
              <w14:schemeClr w14:val="tx1"/>
            </w14:solidFill>
          </w14:textFill>
        </w:rPr>
        <w:t>。</w:t>
      </w:r>
      <w:r>
        <w:rPr>
          <w:rFonts w:hint="eastAsia" w:eastAsia="方正仿宋简体"/>
          <w:color w:val="000000" w:themeColor="text1"/>
          <w14:textFill>
            <w14:solidFill>
              <w14:schemeClr w14:val="tx1"/>
            </w14:solidFill>
          </w14:textFill>
        </w:rPr>
        <w:t>子目中未包含路灯基础中的预埋钢板，单独预埋的钢板应按预埋铁件另行计算。</w:t>
      </w:r>
    </w:p>
    <w:p>
      <w:pPr>
        <w:spacing w:line="600" w:lineRule="exact"/>
        <w:ind w:firstLine="640" w:firstLineChars="200"/>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10</w:t>
      </w:r>
      <w:r>
        <w:rPr>
          <w:rFonts w:hint="eastAsia" w:ascii="楷体" w:hAnsi="楷体" w:eastAsia="楷体" w:cs="楷体"/>
          <w:color w:val="000000" w:themeColor="text1"/>
          <w14:textFill>
            <w14:solidFill>
              <w14:schemeClr w14:val="tx1"/>
            </w14:solidFill>
          </w14:textFill>
        </w:rPr>
        <w:t>. 开关、插座安装子目中是否包含接线底盒的安装？</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开关、插座安装子目中不包括接线底盒的安装，接线底盒应执行接线盒安装相关子目计算。</w:t>
      </w:r>
    </w:p>
    <w:p>
      <w:pPr>
        <w:spacing w:line="600" w:lineRule="exact"/>
        <w:ind w:firstLine="640" w:firstLineChars="200"/>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11. 复合风管的工程量是按内径还是外径尺寸计算？</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风管均按照风管内径尺寸计算工程量。</w:t>
      </w:r>
    </w:p>
    <w:p>
      <w:pPr>
        <w:spacing w:line="600" w:lineRule="exact"/>
        <w:ind w:firstLine="640" w:firstLineChars="200"/>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1</w:t>
      </w:r>
      <w:r>
        <w:rPr>
          <w:rFonts w:hint="eastAsia" w:ascii="楷体" w:hAnsi="楷体" w:eastAsia="楷体" w:cs="楷体"/>
          <w:color w:val="000000" w:themeColor="text1"/>
          <w:lang w:val="en-US" w:eastAsia="zh-CN"/>
          <w14:textFill>
            <w14:solidFill>
              <w14:schemeClr w14:val="tx1"/>
            </w14:solidFill>
          </w14:textFill>
        </w:rPr>
        <w:t>2</w:t>
      </w:r>
      <w:r>
        <w:rPr>
          <w:rFonts w:hint="eastAsia" w:ascii="楷体" w:hAnsi="楷体" w:eastAsia="楷体" w:cs="楷体"/>
          <w:color w:val="000000" w:themeColor="text1"/>
          <w14:textFill>
            <w14:solidFill>
              <w14:schemeClr w14:val="tx1"/>
            </w14:solidFill>
          </w14:textFill>
        </w:rPr>
        <w:t>. 工业管道安装工程中，是否包括打洞堵洞费用？</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不包括，子目是按预留洞口编制的。</w:t>
      </w:r>
    </w:p>
    <w:p>
      <w:pPr>
        <w:spacing w:line="600" w:lineRule="exact"/>
        <w:ind w:firstLine="640" w:firstLineChars="200"/>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13</w:t>
      </w:r>
      <w:r>
        <w:rPr>
          <w:rFonts w:hint="eastAsia" w:ascii="楷体" w:hAnsi="楷体" w:eastAsia="楷体" w:cs="楷体"/>
          <w:color w:val="000000" w:themeColor="text1"/>
          <w14:textFill>
            <w14:solidFill>
              <w14:schemeClr w14:val="tx1"/>
            </w14:solidFill>
          </w14:textFill>
        </w:rPr>
        <w:t>. 工业管道安装项目是否包括一次试压？</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本册管道安装项目中未包括试压，发生时另按试压项目计算。试压项目不区分管道材质，均按压力级别执行相应子目。</w:t>
      </w:r>
    </w:p>
    <w:p>
      <w:pPr>
        <w:spacing w:line="600" w:lineRule="exact"/>
        <w:ind w:firstLine="640" w:firstLineChars="200"/>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14</w:t>
      </w:r>
      <w:r>
        <w:rPr>
          <w:rFonts w:hint="eastAsia" w:ascii="楷体" w:hAnsi="楷体" w:eastAsia="楷体" w:cs="楷体"/>
          <w:color w:val="000000" w:themeColor="text1"/>
          <w14:textFill>
            <w14:solidFill>
              <w14:schemeClr w14:val="tx1"/>
            </w14:solidFill>
          </w14:textFill>
        </w:rPr>
        <w:t>. 阀门、法兰压力等级与管道压力等级不同时应按哪个压力等级执行子目?</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阀门、法兰压力等级与管道压力等级不同时，应按管道压力等级执行子目。</w:t>
      </w:r>
    </w:p>
    <w:p>
      <w:pPr>
        <w:spacing w:line="600" w:lineRule="exact"/>
        <w:ind w:firstLine="640" w:firstLineChars="200"/>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1</w:t>
      </w:r>
      <w:r>
        <w:rPr>
          <w:rFonts w:hint="eastAsia" w:ascii="楷体" w:hAnsi="楷体" w:eastAsia="楷体" w:cs="楷体"/>
          <w:color w:val="000000" w:themeColor="text1"/>
          <w:lang w:val="en-US" w:eastAsia="zh-CN"/>
          <w14:textFill>
            <w14:solidFill>
              <w14:schemeClr w14:val="tx1"/>
            </w14:solidFill>
          </w14:textFill>
        </w:rPr>
        <w:t>5</w:t>
      </w:r>
      <w:r>
        <w:rPr>
          <w:rFonts w:hint="eastAsia" w:ascii="楷体" w:hAnsi="楷体" w:eastAsia="楷体" w:cs="楷体"/>
          <w:color w:val="000000" w:themeColor="text1"/>
          <w14:textFill>
            <w14:solidFill>
              <w14:schemeClr w14:val="tx1"/>
            </w14:solidFill>
          </w14:textFill>
        </w:rPr>
        <w:t>. 自动喷水灭火系统喷头不参与试压，喷头处全部增加堵头进行试压，试压完成后拆除堵头，再配合精装做下喷。试压前安装堵头是否可以按喷头安装执行子目计取费用？</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堵头安装已包含在管道安装中，不得另计。</w:t>
      </w:r>
    </w:p>
    <w:p>
      <w:pPr>
        <w:spacing w:line="600" w:lineRule="exact"/>
        <w:ind w:firstLine="640" w:firstLineChars="200"/>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16</w:t>
      </w:r>
      <w:r>
        <w:rPr>
          <w:rFonts w:hint="eastAsia" w:ascii="楷体" w:hAnsi="楷体" w:eastAsia="楷体" w:cs="楷体"/>
          <w:color w:val="000000" w:themeColor="text1"/>
          <w14:textFill>
            <w14:solidFill>
              <w14:schemeClr w14:val="tx1"/>
            </w14:solidFill>
          </w14:textFill>
        </w:rPr>
        <w:t>. 气体灭火系统装置调试按调试、检验和验收所消耗的试验容器总数计算，在招标控制价和预算时试验容器总数如何确定？是否只能在结算时按实际发生来计取？</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气体灭火装置根据设计中的系统容器数量计</w:t>
      </w:r>
      <w:r>
        <w:rPr>
          <w:rFonts w:hint="eastAsia" w:eastAsia="方正仿宋简体"/>
          <w:color w:val="000000" w:themeColor="text1"/>
          <w:lang w:val="en-US" w:eastAsia="zh-CN"/>
          <w14:textFill>
            <w14:solidFill>
              <w14:schemeClr w14:val="tx1"/>
            </w14:solidFill>
          </w14:textFill>
        </w:rPr>
        <w:t>算</w:t>
      </w:r>
      <w:r>
        <w:rPr>
          <w:rFonts w:hint="eastAsia" w:eastAsia="方正仿宋简体"/>
          <w:color w:val="000000" w:themeColor="text1"/>
          <w14:textFill>
            <w14:solidFill>
              <w14:schemeClr w14:val="tx1"/>
            </w14:solidFill>
          </w14:textFill>
        </w:rPr>
        <w:t>工程量。如在施工时建设单位要求做模拟试验，则模拟试验使用的容器数量可在结算时按实签证计量。</w:t>
      </w:r>
    </w:p>
    <w:p>
      <w:pPr>
        <w:spacing w:line="600" w:lineRule="exact"/>
        <w:ind w:firstLine="640" w:firstLineChars="200"/>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17</w:t>
      </w:r>
      <w:r>
        <w:rPr>
          <w:rFonts w:hint="eastAsia" w:ascii="楷体" w:hAnsi="楷体" w:eastAsia="楷体" w:cs="楷体"/>
          <w:color w:val="000000" w:themeColor="text1"/>
          <w14:textFill>
            <w14:solidFill>
              <w14:schemeClr w14:val="tx1"/>
            </w14:solidFill>
          </w14:textFill>
        </w:rPr>
        <w:t>. 喷淋管网水冲洗是按冲洗几次计算的?多次冲洗是否可以重复计算?</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喷淋管网水冲洗按系统循环冲洗考虑，冲洗至验收合格为</w:t>
      </w:r>
      <w:r>
        <w:rPr>
          <w:rFonts w:hint="eastAsia" w:eastAsia="方正仿宋简体"/>
          <w:color w:val="000000" w:themeColor="text1"/>
          <w:lang w:val="en-US" w:eastAsia="zh-CN"/>
          <w14:textFill>
            <w14:solidFill>
              <w14:schemeClr w14:val="tx1"/>
            </w14:solidFill>
          </w14:textFill>
        </w:rPr>
        <w:t>止</w:t>
      </w:r>
      <w:r>
        <w:rPr>
          <w:rFonts w:hint="eastAsia" w:eastAsia="方正仿宋简体"/>
          <w:color w:val="000000" w:themeColor="text1"/>
          <w14:textFill>
            <w14:solidFill>
              <w14:schemeClr w14:val="tx1"/>
            </w14:solidFill>
          </w14:textFill>
        </w:rPr>
        <w:t>，多次冲洗不得重复计算。</w:t>
      </w:r>
    </w:p>
    <w:p>
      <w:pPr>
        <w:spacing w:line="600" w:lineRule="exact"/>
        <w:ind w:firstLine="640" w:firstLineChars="200"/>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1</w:t>
      </w:r>
      <w:r>
        <w:rPr>
          <w:rFonts w:hint="eastAsia" w:ascii="楷体" w:hAnsi="楷体" w:eastAsia="楷体" w:cs="楷体"/>
          <w:color w:val="000000" w:themeColor="text1"/>
          <w:lang w:val="en-US" w:eastAsia="zh-CN"/>
          <w14:textFill>
            <w14:solidFill>
              <w14:schemeClr w14:val="tx1"/>
            </w14:solidFill>
          </w14:textFill>
        </w:rPr>
        <w:t>8</w:t>
      </w:r>
      <w:r>
        <w:rPr>
          <w:rFonts w:hint="eastAsia" w:ascii="楷体" w:hAnsi="楷体" w:eastAsia="楷体" w:cs="楷体"/>
          <w:color w:val="000000" w:themeColor="text1"/>
          <w14:textFill>
            <w14:solidFill>
              <w14:schemeClr w14:val="tx1"/>
            </w14:solidFill>
          </w14:textFill>
        </w:rPr>
        <w:t>. 各类给（排）水管穿墙、穿楼板的预留洞是否可执行预留孔洞相应子目计算？</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未安装套管的预留孔洞可执行预留孔洞子目计算；安装套管的孔洞预留已包含在套管安装相应子目中，不得重复计算。</w:t>
      </w:r>
    </w:p>
    <w:p>
      <w:pPr>
        <w:spacing w:line="600" w:lineRule="exact"/>
        <w:ind w:firstLine="640" w:firstLineChars="200"/>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19</w:t>
      </w:r>
      <w:r>
        <w:rPr>
          <w:rFonts w:hint="eastAsia" w:ascii="楷体" w:hAnsi="楷体" w:eastAsia="楷体" w:cs="楷体"/>
          <w:color w:val="000000" w:themeColor="text1"/>
          <w14:textFill>
            <w14:solidFill>
              <w14:schemeClr w14:val="tx1"/>
            </w14:solidFill>
          </w14:textFill>
        </w:rPr>
        <w:t xml:space="preserve">. </w:t>
      </w:r>
      <w:r>
        <w:rPr>
          <w:rFonts w:hint="eastAsia" w:ascii="楷体" w:hAnsi="楷体" w:eastAsia="楷体" w:cs="楷体"/>
          <w:color w:val="000000" w:themeColor="text1"/>
          <w:lang w:eastAsia="zh-CN"/>
          <w14:textFill>
            <w14:solidFill>
              <w14:schemeClr w14:val="tx1"/>
            </w14:solidFill>
          </w14:textFill>
        </w:rPr>
        <w:t>第十册</w:t>
      </w:r>
      <w:r>
        <w:rPr>
          <w:rFonts w:hint="eastAsia" w:ascii="楷体" w:hAnsi="楷体" w:eastAsia="楷体" w:cs="楷体"/>
          <w:color w:val="000000" w:themeColor="text1"/>
          <w14:textFill>
            <w14:solidFill>
              <w14:schemeClr w14:val="tx1"/>
            </w14:solidFill>
          </w14:textFill>
        </w:rPr>
        <w:t>塑料排水管安装子目中是否已包含伸缩节的安装？</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塑料排水管中的伸缩节属排水管常规管件，已包含在塑料排水管安装子目中，不得另行计算。</w:t>
      </w:r>
    </w:p>
    <w:p>
      <w:pPr>
        <w:spacing w:line="600" w:lineRule="exact"/>
        <w:ind w:firstLine="640" w:firstLineChars="200"/>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20</w:t>
      </w:r>
      <w:r>
        <w:rPr>
          <w:rFonts w:hint="eastAsia" w:ascii="楷体" w:hAnsi="楷体" w:eastAsia="楷体" w:cs="楷体"/>
          <w:color w:val="000000" w:themeColor="text1"/>
          <w14:textFill>
            <w14:solidFill>
              <w14:schemeClr w14:val="tx1"/>
            </w14:solidFill>
          </w14:textFill>
        </w:rPr>
        <w:t xml:space="preserve">. </w:t>
      </w:r>
      <w:r>
        <w:rPr>
          <w:rFonts w:hint="eastAsia" w:ascii="楷体" w:hAnsi="楷体" w:eastAsia="楷体" w:cs="楷体"/>
          <w:color w:val="000000" w:themeColor="text1"/>
          <w:lang w:eastAsia="zh-CN"/>
          <w14:textFill>
            <w14:solidFill>
              <w14:schemeClr w14:val="tx1"/>
            </w14:solidFill>
          </w14:textFill>
        </w:rPr>
        <w:t>给水</w:t>
      </w:r>
      <w:r>
        <w:rPr>
          <w:rFonts w:hint="eastAsia" w:ascii="楷体" w:hAnsi="楷体" w:eastAsia="楷体" w:cs="楷体"/>
          <w:color w:val="000000" w:themeColor="text1"/>
          <w14:textFill>
            <w14:solidFill>
              <w14:schemeClr w14:val="tx1"/>
            </w14:solidFill>
          </w14:textFill>
        </w:rPr>
        <w:t>管道安装仅冲洗不消毒时，如何执行子目？</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执行管道消毒、冲洗相应子目</w:t>
      </w:r>
      <w:r>
        <w:rPr>
          <w:rFonts w:hint="eastAsia" w:eastAsia="方正仿宋简体"/>
          <w:color w:val="000000" w:themeColor="text1"/>
          <w:lang w:eastAsia="zh-CN"/>
          <w14:textFill>
            <w14:solidFill>
              <w14:schemeClr w14:val="tx1"/>
            </w14:solidFill>
          </w14:textFill>
        </w:rPr>
        <w:t>，</w:t>
      </w:r>
      <w:r>
        <w:rPr>
          <w:rFonts w:hint="eastAsia" w:eastAsia="方正仿宋简体"/>
          <w:color w:val="000000" w:themeColor="text1"/>
          <w14:textFill>
            <w14:solidFill>
              <w14:schemeClr w14:val="tx1"/>
            </w14:solidFill>
          </w14:textFill>
        </w:rPr>
        <w:t>并扣除漂白粉消耗量</w:t>
      </w:r>
      <w:r>
        <w:rPr>
          <w:rFonts w:hint="eastAsia" w:eastAsia="方正仿宋简体"/>
          <w:color w:val="000000" w:themeColor="text1"/>
          <w:lang w:eastAsia="zh-CN"/>
          <w14:textFill>
            <w14:solidFill>
              <w14:schemeClr w14:val="tx1"/>
            </w14:solidFill>
          </w14:textFill>
        </w:rPr>
        <w:t>，</w:t>
      </w:r>
      <w:r>
        <w:rPr>
          <w:rFonts w:hint="eastAsia" w:eastAsia="方正仿宋简体"/>
          <w:color w:val="000000" w:themeColor="text1"/>
          <w14:textFill>
            <w14:solidFill>
              <w14:schemeClr w14:val="tx1"/>
            </w14:solidFill>
          </w14:textFill>
        </w:rPr>
        <w:t>人工不变。</w:t>
      </w:r>
    </w:p>
    <w:p>
      <w:pPr>
        <w:keepNext w:val="0"/>
        <w:keepLines w:val="0"/>
        <w:pageBreakBefore w:val="0"/>
        <w:widowControl w:val="0"/>
        <w:kinsoku/>
        <w:wordWrap/>
        <w:overflowPunct/>
        <w:topLinePunct w:val="0"/>
        <w:autoSpaceDE/>
        <w:autoSpaceDN/>
        <w:bidi w:val="0"/>
        <w:adjustRightInd/>
        <w:snapToGrid/>
        <w:spacing w:before="576" w:beforeLines="100" w:after="576" w:afterLines="100" w:line="600" w:lineRule="exact"/>
        <w:ind w:firstLine="643" w:firstLineChars="200"/>
        <w:jc w:val="left"/>
        <w:textAlignment w:val="auto"/>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四、市政工程</w:t>
      </w:r>
    </w:p>
    <w:p>
      <w:pPr>
        <w:spacing w:line="600" w:lineRule="exact"/>
        <w:ind w:firstLine="640" w:firstLineChars="200"/>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1</w:t>
      </w:r>
      <w:r>
        <w:rPr>
          <w:rFonts w:hint="eastAsia" w:ascii="楷体" w:hAnsi="楷体" w:eastAsia="楷体" w:cs="楷体"/>
          <w:color w:val="000000" w:themeColor="text1"/>
          <w14:textFill>
            <w14:solidFill>
              <w14:schemeClr w14:val="tx1"/>
            </w14:solidFill>
          </w14:textFill>
        </w:rPr>
        <w:t>. 《湖南省市政工程消耗量标准》总说明第四条使用范围第2点第（2）款“为保障通行，需分幅分段施工的，人工、机械乘以系数1.05”及第（3）款“背街小巷改造工程、交通疏解工程、城区管线改迁工程，人工、机械乘以系数1.15”这两个系数是否可以连乘？以上系数是整体项目人工、机械乘以系数，还是部分施工段？</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以上系数不能连乘，按其中最高情况的系数计取，以上系数只针对受影响的施工段，整体项目应根据具体情况分段考虑。</w:t>
      </w:r>
    </w:p>
    <w:p>
      <w:pPr>
        <w:spacing w:line="600" w:lineRule="exact"/>
        <w:ind w:firstLine="640" w:firstLineChars="200"/>
        <w:rPr>
          <w:rFonts w:hint="eastAsia" w:ascii="楷体" w:hAnsi="楷体" w:eastAsia="楷体" w:cs="楷体"/>
          <w:color w:val="000000" w:themeColor="text1"/>
          <w:lang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2. 市政工程中土石方运输必须采用新型智能环保渣土砂石</w:t>
      </w:r>
      <w:r>
        <w:rPr>
          <w:rFonts w:hint="eastAsia" w:ascii="楷体" w:hAnsi="楷体" w:eastAsia="楷体" w:cs="楷体"/>
          <w:color w:val="000000" w:themeColor="text1"/>
          <w14:textFill>
            <w14:solidFill>
              <w14:schemeClr w14:val="tx1"/>
            </w14:solidFill>
          </w14:textFill>
        </w:rPr>
        <w:t>专用运输车</w:t>
      </w:r>
      <w:r>
        <w:rPr>
          <w:rFonts w:hint="eastAsia" w:ascii="楷体" w:hAnsi="楷体" w:eastAsia="楷体" w:cs="楷体"/>
          <w:color w:val="000000" w:themeColor="text1"/>
          <w:lang w:eastAsia="zh-CN"/>
          <w14:textFill>
            <w14:solidFill>
              <w14:schemeClr w14:val="tx1"/>
            </w14:solidFill>
          </w14:textFill>
        </w:rPr>
        <w:t>时，应如何计价？</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土石方运输必须采用新型智能环保渣土砂石专用运输车的市州，其费用按市州有关标准执行，土石方挖装按相应项目的人工、机械乘以系数1.25。</w:t>
      </w:r>
    </w:p>
    <w:p>
      <w:pPr>
        <w:spacing w:line="600" w:lineRule="exact"/>
        <w:ind w:firstLine="640" w:firstLineChars="200"/>
        <w:rPr>
          <w:rFonts w:hint="eastAsia" w:ascii="楷体" w:hAnsi="楷体" w:eastAsia="楷体" w:cs="楷体"/>
          <w:color w:val="000000" w:themeColor="text1"/>
          <w:lang w:val="en-US" w:eastAsia="zh-CN"/>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3. 第六章水处理工程章说明第四条“乡镇污水处理规模2000吨/日以下的所有项目的人工、机械乘以系数1.15，对应模板及支撑钢管的摊销量乘以系数1.5，乡镇污水处理规模2000 ~5000吨/日之间的所有项目的人工、机械乘以系数1.15，对应模板及支撑钢管的摊销量乘以系数1.3”，其“所有项目”是指本章对应的所有子目还是指整个污水处理厂涉及到的所有单位工程？</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“所有项目”是指第六章第一节对应的所有子目，借用其他章节子目的从其他章节</w:t>
      </w:r>
      <w:r>
        <w:rPr>
          <w:rFonts w:hint="eastAsia" w:eastAsia="方正仿宋简体"/>
          <w:color w:val="000000" w:themeColor="text1"/>
          <w:lang w:val="en-US" w:eastAsia="zh-CN"/>
          <w14:textFill>
            <w14:solidFill>
              <w14:schemeClr w14:val="tx1"/>
            </w14:solidFill>
          </w14:textFill>
        </w:rPr>
        <w:t>相关</w:t>
      </w:r>
      <w:r>
        <w:rPr>
          <w:rFonts w:hint="eastAsia" w:eastAsia="方正仿宋简体"/>
          <w:color w:val="000000" w:themeColor="text1"/>
          <w14:textFill>
            <w14:solidFill>
              <w14:schemeClr w14:val="tx1"/>
            </w14:solidFill>
          </w14:textFill>
        </w:rPr>
        <w:t>说明。</w:t>
      </w:r>
    </w:p>
    <w:p>
      <w:pPr>
        <w:spacing w:line="600" w:lineRule="exact"/>
        <w:ind w:firstLine="640" w:firstLineChars="200"/>
        <w:rPr>
          <w:rFonts w:hint="eastAsia" w:ascii="楷体" w:hAnsi="楷体" w:eastAsia="楷体" w:cs="楷体"/>
          <w:b w:val="0"/>
          <w:bCs w:val="0"/>
          <w:color w:val="000000" w:themeColor="text1"/>
          <w14:textFill>
            <w14:solidFill>
              <w14:schemeClr w14:val="tx1"/>
            </w14:solidFill>
          </w14:textFill>
        </w:rPr>
      </w:pPr>
      <w:r>
        <w:rPr>
          <w:rFonts w:hint="eastAsia" w:ascii="楷体" w:hAnsi="楷体" w:eastAsia="楷体" w:cs="楷体"/>
          <w:b w:val="0"/>
          <w:bCs w:val="0"/>
          <w:color w:val="000000" w:themeColor="text1"/>
          <w:szCs w:val="32"/>
          <w:lang w:val="en-US" w:eastAsia="zh-CN"/>
          <w14:textFill>
            <w14:solidFill>
              <w14:schemeClr w14:val="tx1"/>
            </w14:solidFill>
          </w14:textFill>
        </w:rPr>
        <w:t>4、</w:t>
      </w:r>
      <w:r>
        <w:rPr>
          <w:rFonts w:hint="eastAsia" w:ascii="楷体" w:hAnsi="楷体" w:eastAsia="楷体" w:cs="楷体"/>
          <w:b w:val="0"/>
          <w:bCs w:val="0"/>
          <w:color w:val="000000" w:themeColor="text1"/>
          <w:szCs w:val="32"/>
          <w:lang w:eastAsia="zh-CN"/>
          <w14:textFill>
            <w14:solidFill>
              <w14:schemeClr w14:val="tx1"/>
            </w14:solidFill>
          </w14:textFill>
        </w:rPr>
        <w:t>第十一章措施项目中第二节模板工程及脚手架子目中含对</w:t>
      </w:r>
      <w:r>
        <w:rPr>
          <w:rFonts w:hint="eastAsia" w:ascii="楷体" w:hAnsi="楷体" w:eastAsia="楷体" w:cs="楷体"/>
          <w:b w:val="0"/>
          <w:bCs w:val="0"/>
          <w:color w:val="000000" w:themeColor="text1"/>
          <w14:textFill>
            <w14:solidFill>
              <w14:schemeClr w14:val="tx1"/>
            </w14:solidFill>
          </w14:textFill>
        </w:rPr>
        <w:t>拉螺杆封堵费吗？如何计价？</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子目中不含对拉螺杆封堵费用，按实计算。</w:t>
      </w:r>
    </w:p>
    <w:p>
      <w:pPr>
        <w:keepNext w:val="0"/>
        <w:keepLines w:val="0"/>
        <w:pageBreakBefore w:val="0"/>
        <w:widowControl w:val="0"/>
        <w:kinsoku/>
        <w:wordWrap/>
        <w:overflowPunct/>
        <w:topLinePunct w:val="0"/>
        <w:autoSpaceDE/>
        <w:autoSpaceDN/>
        <w:bidi w:val="0"/>
        <w:adjustRightInd/>
        <w:snapToGrid/>
        <w:spacing w:before="576" w:beforeLines="100" w:after="576" w:afterLines="100" w:line="600" w:lineRule="exact"/>
        <w:ind w:firstLine="643" w:firstLineChars="200"/>
        <w:jc w:val="left"/>
        <w:textAlignment w:val="auto"/>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五、园林绿化工程</w:t>
      </w:r>
    </w:p>
    <w:p>
      <w:pPr>
        <w:spacing w:line="600" w:lineRule="exact"/>
        <w:ind w:firstLine="640" w:firstLineChars="200"/>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苗木移栽同时套用起挖、苗木运输、栽植相应子目时，含了苗木主材，应如何调整?</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苗木移栽同时套用起挖、苗木运输、栽植相应子目时，将苗木栽植中主材删除。</w:t>
      </w:r>
    </w:p>
    <w:p>
      <w:pPr>
        <w:keepNext w:val="0"/>
        <w:keepLines w:val="0"/>
        <w:pageBreakBefore w:val="0"/>
        <w:widowControl w:val="0"/>
        <w:kinsoku/>
        <w:wordWrap/>
        <w:overflowPunct/>
        <w:topLinePunct w:val="0"/>
        <w:autoSpaceDE/>
        <w:autoSpaceDN/>
        <w:bidi w:val="0"/>
        <w:adjustRightInd/>
        <w:snapToGrid/>
        <w:spacing w:before="576" w:beforeLines="100" w:after="576" w:afterLines="100" w:line="600" w:lineRule="exact"/>
        <w:ind w:firstLine="643" w:firstLineChars="200"/>
        <w:jc w:val="left"/>
        <w:textAlignment w:val="auto"/>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六、城市雕塑工程</w:t>
      </w:r>
    </w:p>
    <w:p>
      <w:pPr>
        <w:spacing w:line="600" w:lineRule="exact"/>
        <w:ind w:firstLine="640" w:firstLineChars="200"/>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青铜刻古诗词文化墙（深度10mm以内）是否适用于《湖南省城市雕塑工程消耗量标准（试行）》？</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湖南省城市雕塑工程消耗量标准》适用范围：本消耗量标准适用于具有艺术创作设计著作权、非仿古复制型、非工艺产品的专项专业景观建设工程。如刻传统狮子、马踏飞燕、古诗词等不适用本消耗量标准。本消耗量标准按加工难度中等偏上的雕塑编制，加工难度简单或过于复杂的雕塑，可自行协商雕塑造价。</w:t>
      </w:r>
    </w:p>
    <w:p>
      <w:pPr>
        <w:keepNext w:val="0"/>
        <w:keepLines w:val="0"/>
        <w:pageBreakBefore w:val="0"/>
        <w:widowControl w:val="0"/>
        <w:kinsoku/>
        <w:wordWrap/>
        <w:overflowPunct/>
        <w:topLinePunct w:val="0"/>
        <w:autoSpaceDE/>
        <w:autoSpaceDN/>
        <w:bidi w:val="0"/>
        <w:adjustRightInd/>
        <w:snapToGrid/>
        <w:spacing w:before="576" w:beforeLines="100" w:after="576" w:afterLines="100" w:line="600" w:lineRule="exact"/>
        <w:ind w:firstLine="643" w:firstLineChars="200"/>
        <w:jc w:val="left"/>
        <w:textAlignment w:val="auto"/>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七、市政排水设施维护工程</w:t>
      </w:r>
    </w:p>
    <w:p>
      <w:pPr>
        <w:spacing w:line="600" w:lineRule="exact"/>
        <w:ind w:firstLine="640" w:firstLineChars="200"/>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 xml:space="preserve">1. </w:t>
      </w:r>
      <w:r>
        <w:rPr>
          <w:rFonts w:hint="eastAsia" w:ascii="楷体" w:hAnsi="楷体" w:eastAsia="楷体" w:cs="楷体"/>
          <w:color w:val="000000" w:themeColor="text1"/>
          <w:lang w:eastAsia="zh-CN"/>
          <w14:textFill>
            <w14:solidFill>
              <w14:schemeClr w14:val="tx1"/>
            </w14:solidFill>
          </w14:textFill>
        </w:rPr>
        <w:t>第二章</w:t>
      </w:r>
      <w:r>
        <w:rPr>
          <w:rFonts w:hint="eastAsia" w:ascii="楷体" w:hAnsi="楷体" w:eastAsia="楷体" w:cs="楷体"/>
          <w:color w:val="000000" w:themeColor="text1"/>
          <w:lang w:val="en-US" w:eastAsia="zh-CN"/>
          <w14:textFill>
            <w14:solidFill>
              <w14:schemeClr w14:val="tx1"/>
            </w14:solidFill>
          </w14:textFill>
        </w:rPr>
        <w:t xml:space="preserve"> </w:t>
      </w:r>
      <w:r>
        <w:rPr>
          <w:rFonts w:hint="eastAsia" w:ascii="楷体" w:hAnsi="楷体" w:eastAsia="楷体" w:cs="楷体"/>
          <w:color w:val="000000" w:themeColor="text1"/>
          <w:lang w:eastAsia="zh-CN"/>
          <w14:textFill>
            <w14:solidFill>
              <w14:schemeClr w14:val="tx1"/>
            </w14:solidFill>
          </w14:textFill>
        </w:rPr>
        <w:t>管道、渠沟疏通章</w:t>
      </w:r>
      <w:r>
        <w:rPr>
          <w:rFonts w:hint="eastAsia" w:ascii="楷体" w:hAnsi="楷体" w:eastAsia="楷体" w:cs="楷体"/>
          <w:color w:val="000000" w:themeColor="text1"/>
          <w14:textFill>
            <w14:solidFill>
              <w14:schemeClr w14:val="tx1"/>
            </w14:solidFill>
          </w14:textFill>
        </w:rPr>
        <w:t>说明“六、本章清淤子目按一般情况下清淤考虑，对于检测类、修复类的清淤，按本标准子目人工、材料、机械乘以系数1.5”中，检测类、修复类的清淤的适用范围是什么？</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检测类的清淤是指，为符合湖南省相关标准，保证管道内壁无污物遮盖，以便于进行闭路电视检测的清淤工程。</w:t>
      </w:r>
    </w:p>
    <w:p>
      <w:pPr>
        <w:spacing w:line="600" w:lineRule="exact"/>
        <w:ind w:firstLine="640"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修复类的清淤是指，为符合湖南省相关标准，保证管道内应无沉积物、垃圾及其它障碍物，管道内不应有影响施工的积水，管道内表面应洁净，无附着物、尖锐毛刺和突起，以便于进行管道非开挖修复进行的清淤工程。</w:t>
      </w:r>
    </w:p>
    <w:p>
      <w:pPr>
        <w:spacing w:line="600" w:lineRule="exact"/>
        <w:ind w:firstLine="640" w:firstLineChars="200"/>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lang w:val="en-US" w:eastAsia="zh-CN"/>
          <w14:textFill>
            <w14:solidFill>
              <w14:schemeClr w14:val="tx1"/>
            </w14:solidFill>
          </w14:textFill>
        </w:rPr>
        <w:t xml:space="preserve">2. </w:t>
      </w:r>
      <w:r>
        <w:rPr>
          <w:rFonts w:hint="eastAsia" w:ascii="楷体" w:hAnsi="楷体" w:eastAsia="楷体" w:cs="楷体"/>
          <w:color w:val="000000" w:themeColor="text1"/>
          <w14:textFill>
            <w14:solidFill>
              <w14:schemeClr w14:val="tx1"/>
            </w14:solidFill>
          </w14:textFill>
        </w:rPr>
        <w:t>第六章管道修复</w:t>
      </w:r>
      <w:r>
        <w:rPr>
          <w:rFonts w:hint="eastAsia" w:ascii="楷体" w:hAnsi="楷体" w:eastAsia="楷体" w:cs="楷体"/>
          <w:color w:val="000000" w:themeColor="text1"/>
          <w:lang w:eastAsia="zh-CN"/>
          <w14:textFill>
            <w14:solidFill>
              <w14:schemeClr w14:val="tx1"/>
            </w14:solidFill>
          </w14:textFill>
        </w:rPr>
        <w:t>预</w:t>
      </w:r>
      <w:r>
        <w:rPr>
          <w:rFonts w:hint="eastAsia" w:ascii="楷体" w:hAnsi="楷体" w:eastAsia="楷体" w:cs="楷体"/>
          <w:color w:val="000000" w:themeColor="text1"/>
          <w14:textFill>
            <w14:solidFill>
              <w14:schemeClr w14:val="tx1"/>
            </w14:solidFill>
          </w14:textFill>
        </w:rPr>
        <w:t>处理</w:t>
      </w:r>
      <w:r>
        <w:rPr>
          <w:rFonts w:hint="eastAsia" w:ascii="楷体" w:hAnsi="楷体" w:eastAsia="楷体" w:cs="楷体"/>
          <w:color w:val="000000" w:themeColor="text1"/>
          <w:lang w:eastAsia="zh-CN"/>
          <w14:textFill>
            <w14:solidFill>
              <w14:schemeClr w14:val="tx1"/>
            </w14:solidFill>
          </w14:textFill>
        </w:rPr>
        <w:t>的</w:t>
      </w:r>
      <w:r>
        <w:rPr>
          <w:rFonts w:hint="eastAsia" w:ascii="楷体" w:hAnsi="楷体" w:eastAsia="楷体" w:cs="楷体"/>
          <w:color w:val="000000" w:themeColor="text1"/>
          <w14:textFill>
            <w14:solidFill>
              <w14:schemeClr w14:val="tx1"/>
            </w14:solidFill>
          </w14:textFill>
        </w:rPr>
        <w:t>工程量计算规则</w:t>
      </w:r>
      <w:r>
        <w:rPr>
          <w:rFonts w:hint="eastAsia" w:ascii="楷体" w:hAnsi="楷体" w:eastAsia="楷体" w:cs="楷体"/>
          <w:color w:val="000000" w:themeColor="text1"/>
          <w:lang w:eastAsia="zh-CN"/>
          <w14:textFill>
            <w14:solidFill>
              <w14:schemeClr w14:val="tx1"/>
            </w14:solidFill>
          </w14:textFill>
        </w:rPr>
        <w:t>第四条：</w:t>
      </w:r>
      <w:r>
        <w:rPr>
          <w:rFonts w:hint="eastAsia" w:ascii="楷体" w:hAnsi="楷体" w:eastAsia="楷体" w:cs="楷体"/>
          <w:color w:val="000000" w:themeColor="text1"/>
          <w14:textFill>
            <w14:solidFill>
              <w14:schemeClr w14:val="tx1"/>
            </w14:solidFill>
          </w14:textFill>
        </w:rPr>
        <w:t>“四、管道机器人切除管内树根异物，区分不同管径，以树根侵入处沿管中心线长度以‘m’计算。”当树根</w:t>
      </w:r>
      <w:r>
        <w:rPr>
          <w:rFonts w:hint="eastAsia" w:ascii="楷体" w:hAnsi="楷体" w:eastAsia="楷体" w:cs="楷体"/>
          <w:color w:val="000000" w:themeColor="text1"/>
          <w:lang w:val="en-US" w:eastAsia="zh-CN"/>
          <w14:textFill>
            <w14:solidFill>
              <w14:schemeClr w14:val="tx1"/>
            </w14:solidFill>
          </w14:textFill>
        </w:rPr>
        <w:t>为点状侵入，无法计算侵入长度时，</w:t>
      </w:r>
      <w:r>
        <w:rPr>
          <w:rFonts w:hint="eastAsia" w:ascii="楷体" w:hAnsi="楷体" w:eastAsia="楷体" w:cs="楷体"/>
          <w:color w:val="000000" w:themeColor="text1"/>
          <w14:textFill>
            <w14:solidFill>
              <w14:schemeClr w14:val="tx1"/>
            </w14:solidFill>
          </w14:textFill>
        </w:rPr>
        <w:t>如何计算工程量？</w:t>
      </w:r>
    </w:p>
    <w:p>
      <w:pPr>
        <w:spacing w:line="600" w:lineRule="exact"/>
        <w:ind w:firstLine="616" w:firstLineChars="200"/>
        <w:rPr>
          <w:rFonts w:hint="eastAsia" w:eastAsia="方正仿宋简体"/>
          <w:color w:val="000000" w:themeColor="text1"/>
          <w14:textFill>
            <w14:solidFill>
              <w14:schemeClr w14:val="tx1"/>
            </w14:solidFill>
          </w14:textFill>
        </w:rPr>
      </w:pPr>
      <w:r>
        <w:rPr>
          <w:rFonts w:hint="eastAsia" w:eastAsia="方正仿宋简体"/>
          <w:color w:val="000000" w:themeColor="text1"/>
          <w:spacing w:val="-6"/>
          <w:sz w:val="32"/>
          <w14:textFill>
            <w14:solidFill>
              <w14:schemeClr w14:val="tx1"/>
            </w14:solidFill>
          </w14:textFill>
        </w:rPr>
        <w:t>当实际树根</w:t>
      </w:r>
      <w:r>
        <w:rPr>
          <w:rFonts w:hint="eastAsia" w:eastAsia="方正仿宋简体"/>
          <w:color w:val="000000" w:themeColor="text1"/>
          <w:spacing w:val="-6"/>
          <w:sz w:val="32"/>
          <w:lang w:val="en-US" w:eastAsia="zh-CN"/>
          <w14:textFill>
            <w14:solidFill>
              <w14:schemeClr w14:val="tx1"/>
            </w14:solidFill>
          </w14:textFill>
        </w:rPr>
        <w:t>为</w:t>
      </w:r>
      <w:r>
        <w:rPr>
          <w:rFonts w:hint="eastAsia" w:eastAsia="方正仿宋简体"/>
          <w:color w:val="000000" w:themeColor="text1"/>
          <w:spacing w:val="-6"/>
          <w:sz w:val="32"/>
          <w14:textFill>
            <w14:solidFill>
              <w14:schemeClr w14:val="tx1"/>
            </w14:solidFill>
          </w14:textFill>
        </w:rPr>
        <w:t>点状侵入</w:t>
      </w:r>
      <w:r>
        <w:rPr>
          <w:rFonts w:hint="eastAsia" w:eastAsia="方正仿宋简体"/>
          <w:color w:val="000000" w:themeColor="text1"/>
          <w:spacing w:val="-6"/>
          <w:sz w:val="32"/>
          <w:lang w:val="en-US" w:eastAsia="zh-CN"/>
          <w14:textFill>
            <w14:solidFill>
              <w14:schemeClr w14:val="tx1"/>
            </w14:solidFill>
          </w14:textFill>
        </w:rPr>
        <w:t>，</w:t>
      </w:r>
      <w:r>
        <w:rPr>
          <w:rFonts w:hint="eastAsia" w:eastAsia="方正仿宋简体"/>
          <w:color w:val="000000" w:themeColor="text1"/>
          <w:spacing w:val="-6"/>
          <w:sz w:val="32"/>
          <w14:textFill>
            <w14:solidFill>
              <w14:schemeClr w14:val="tx1"/>
            </w14:solidFill>
          </w14:textFill>
        </w:rPr>
        <w:t>无法计算侵入长度时</w:t>
      </w:r>
      <w:r>
        <w:rPr>
          <w:rFonts w:hint="eastAsia" w:eastAsia="方正仿宋简体"/>
          <w:b/>
          <w:bCs/>
          <w:color w:val="000000" w:themeColor="text1"/>
          <w:spacing w:val="-6"/>
          <w:sz w:val="32"/>
          <w:lang w:val="en-US" w:eastAsia="zh-CN"/>
          <w14:textFill>
            <w14:solidFill>
              <w14:schemeClr w14:val="tx1"/>
            </w14:solidFill>
          </w14:textFill>
        </w:rPr>
        <w:t xml:space="preserve">, </w:t>
      </w:r>
      <w:r>
        <w:rPr>
          <w:rFonts w:hint="eastAsia" w:eastAsia="方正仿宋简体"/>
          <w:color w:val="000000" w:themeColor="text1"/>
          <w:spacing w:val="-6"/>
          <w:sz w:val="32"/>
          <w14:textFill>
            <w14:solidFill>
              <w14:schemeClr w14:val="tx1"/>
            </w14:solidFill>
          </w14:textFill>
        </w:rPr>
        <w:t>按0.3m/处</w:t>
      </w:r>
      <w:r>
        <w:rPr>
          <w:rFonts w:hint="eastAsia" w:eastAsia="方正仿宋简体"/>
          <w:color w:val="000000" w:themeColor="text1"/>
          <w14:textFill>
            <w14:solidFill>
              <w14:schemeClr w14:val="tx1"/>
            </w14:solidFill>
          </w14:textFill>
        </w:rPr>
        <w:t>计算工程量。</w:t>
      </w:r>
    </w:p>
    <w:sectPr>
      <w:footerReference r:id="rId3" w:type="default"/>
      <w:pgSz w:w="11906" w:h="16838"/>
      <w:pgMar w:top="1701" w:right="1418" w:bottom="1701" w:left="1418" w:header="851" w:footer="1134" w:gutter="0"/>
      <w:pgNumType w:fmt="decimal"/>
      <w:cols w:space="720" w:num="1"/>
      <w:docGrid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B6A231-6909-40B5-A5D9-15B2CA98203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embedRegular r:id="rId2" w:fontKey="{897D7B98-DE1E-42CD-85A6-99E30E4B3C06}"/>
  </w:font>
  <w:font w:name="楷体">
    <w:panose1 w:val="02010609060101010101"/>
    <w:charset w:val="86"/>
    <w:family w:val="auto"/>
    <w:pitch w:val="default"/>
    <w:sig w:usb0="800002BF" w:usb1="38CF7CFA" w:usb2="00000016" w:usb3="00000000" w:csb0="00040001" w:csb1="00000000"/>
    <w:embedRegular r:id="rId3" w:fontKey="{2362BB84-5893-44B4-86C1-6A9063F55168}"/>
  </w:font>
  <w:font w:name="方正仿宋简体">
    <w:panose1 w:val="03000509000000000000"/>
    <w:charset w:val="86"/>
    <w:family w:val="script"/>
    <w:pitch w:val="default"/>
    <w:sig w:usb0="00000001" w:usb1="080E0000" w:usb2="00000000" w:usb3="00000000" w:csb0="00040000" w:csb1="00000000"/>
    <w:embedRegular r:id="rId4" w:fontKey="{7129BC48-8DBA-4732-8565-24DC236D06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19"/>
  <w:hyphenationZone w:val="360"/>
  <w:drawingGridHorizontalSpacing w:val="156"/>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NDAyMDA1MWE2Zjk3MDI1ZGIwOGI3YjM3YTk0MTAifQ=="/>
  </w:docVars>
  <w:rsids>
    <w:rsidRoot w:val="006E734D"/>
    <w:rsid w:val="00012444"/>
    <w:rsid w:val="00030B8A"/>
    <w:rsid w:val="0003479C"/>
    <w:rsid w:val="0003670E"/>
    <w:rsid w:val="00036E31"/>
    <w:rsid w:val="00040648"/>
    <w:rsid w:val="000415CE"/>
    <w:rsid w:val="00046B16"/>
    <w:rsid w:val="0005011E"/>
    <w:rsid w:val="00050761"/>
    <w:rsid w:val="00053CB3"/>
    <w:rsid w:val="00071AD2"/>
    <w:rsid w:val="00077162"/>
    <w:rsid w:val="0008504A"/>
    <w:rsid w:val="00094E7B"/>
    <w:rsid w:val="000A63CC"/>
    <w:rsid w:val="000B1DDD"/>
    <w:rsid w:val="000B50E7"/>
    <w:rsid w:val="000B630F"/>
    <w:rsid w:val="000B7AC1"/>
    <w:rsid w:val="000C630E"/>
    <w:rsid w:val="000C65AF"/>
    <w:rsid w:val="000D4DA1"/>
    <w:rsid w:val="000D4F0B"/>
    <w:rsid w:val="000D7E54"/>
    <w:rsid w:val="000E5CE4"/>
    <w:rsid w:val="000F1B18"/>
    <w:rsid w:val="000F3DDD"/>
    <w:rsid w:val="000F7F2E"/>
    <w:rsid w:val="001125BF"/>
    <w:rsid w:val="00121CB1"/>
    <w:rsid w:val="001220B5"/>
    <w:rsid w:val="0012303A"/>
    <w:rsid w:val="00125ABA"/>
    <w:rsid w:val="001307CC"/>
    <w:rsid w:val="0013575D"/>
    <w:rsid w:val="001554CB"/>
    <w:rsid w:val="0016149E"/>
    <w:rsid w:val="00174C76"/>
    <w:rsid w:val="00174F6F"/>
    <w:rsid w:val="00190D59"/>
    <w:rsid w:val="001919B9"/>
    <w:rsid w:val="0019320E"/>
    <w:rsid w:val="001A1362"/>
    <w:rsid w:val="001A2056"/>
    <w:rsid w:val="001B4940"/>
    <w:rsid w:val="001B57EF"/>
    <w:rsid w:val="001C4164"/>
    <w:rsid w:val="001C6EA6"/>
    <w:rsid w:val="001D3D05"/>
    <w:rsid w:val="001E1D32"/>
    <w:rsid w:val="00200092"/>
    <w:rsid w:val="00207605"/>
    <w:rsid w:val="0021113C"/>
    <w:rsid w:val="002111A6"/>
    <w:rsid w:val="00214506"/>
    <w:rsid w:val="00216A41"/>
    <w:rsid w:val="002171D9"/>
    <w:rsid w:val="00223514"/>
    <w:rsid w:val="00225D3F"/>
    <w:rsid w:val="00226290"/>
    <w:rsid w:val="00233010"/>
    <w:rsid w:val="002447F8"/>
    <w:rsid w:val="002451EF"/>
    <w:rsid w:val="00245FF3"/>
    <w:rsid w:val="00262910"/>
    <w:rsid w:val="00266B35"/>
    <w:rsid w:val="002670ED"/>
    <w:rsid w:val="002679EE"/>
    <w:rsid w:val="00285731"/>
    <w:rsid w:val="00293336"/>
    <w:rsid w:val="002B46FE"/>
    <w:rsid w:val="002C6ACB"/>
    <w:rsid w:val="002C70C9"/>
    <w:rsid w:val="002D66DC"/>
    <w:rsid w:val="002E1021"/>
    <w:rsid w:val="002F3E12"/>
    <w:rsid w:val="002F42B5"/>
    <w:rsid w:val="00311295"/>
    <w:rsid w:val="00323B46"/>
    <w:rsid w:val="003300FF"/>
    <w:rsid w:val="00341BBC"/>
    <w:rsid w:val="00344F2C"/>
    <w:rsid w:val="00352E98"/>
    <w:rsid w:val="00354ED8"/>
    <w:rsid w:val="00364916"/>
    <w:rsid w:val="00371627"/>
    <w:rsid w:val="0037400C"/>
    <w:rsid w:val="0037481B"/>
    <w:rsid w:val="00376DAF"/>
    <w:rsid w:val="00380E4E"/>
    <w:rsid w:val="00387749"/>
    <w:rsid w:val="003921A4"/>
    <w:rsid w:val="0039229F"/>
    <w:rsid w:val="00392EEB"/>
    <w:rsid w:val="00397889"/>
    <w:rsid w:val="003B6451"/>
    <w:rsid w:val="003E29A5"/>
    <w:rsid w:val="003E34D9"/>
    <w:rsid w:val="003F5768"/>
    <w:rsid w:val="003F5794"/>
    <w:rsid w:val="003F6A01"/>
    <w:rsid w:val="00401DB5"/>
    <w:rsid w:val="004034F9"/>
    <w:rsid w:val="004049BA"/>
    <w:rsid w:val="004050D3"/>
    <w:rsid w:val="004253BC"/>
    <w:rsid w:val="00430AC0"/>
    <w:rsid w:val="0043135A"/>
    <w:rsid w:val="0043209A"/>
    <w:rsid w:val="004466D3"/>
    <w:rsid w:val="00452D0B"/>
    <w:rsid w:val="00455064"/>
    <w:rsid w:val="00461D77"/>
    <w:rsid w:val="00461EB7"/>
    <w:rsid w:val="00462BA2"/>
    <w:rsid w:val="00470952"/>
    <w:rsid w:val="00472787"/>
    <w:rsid w:val="00487A6C"/>
    <w:rsid w:val="00492020"/>
    <w:rsid w:val="004A248F"/>
    <w:rsid w:val="004A3D7F"/>
    <w:rsid w:val="004A41FA"/>
    <w:rsid w:val="004A54C5"/>
    <w:rsid w:val="004B57C1"/>
    <w:rsid w:val="004C0EC5"/>
    <w:rsid w:val="004C5175"/>
    <w:rsid w:val="004D40E7"/>
    <w:rsid w:val="004E0184"/>
    <w:rsid w:val="004E40F9"/>
    <w:rsid w:val="004E508E"/>
    <w:rsid w:val="004E5FE2"/>
    <w:rsid w:val="004E7701"/>
    <w:rsid w:val="004F1A4A"/>
    <w:rsid w:val="005032EB"/>
    <w:rsid w:val="00511382"/>
    <w:rsid w:val="0053271F"/>
    <w:rsid w:val="00542A0F"/>
    <w:rsid w:val="005457DD"/>
    <w:rsid w:val="00547AAA"/>
    <w:rsid w:val="00572B13"/>
    <w:rsid w:val="0057625B"/>
    <w:rsid w:val="00580973"/>
    <w:rsid w:val="00590569"/>
    <w:rsid w:val="0059138F"/>
    <w:rsid w:val="00592F7A"/>
    <w:rsid w:val="00597DB0"/>
    <w:rsid w:val="005A5D67"/>
    <w:rsid w:val="005B0568"/>
    <w:rsid w:val="005C679A"/>
    <w:rsid w:val="005D3E4C"/>
    <w:rsid w:val="005E5CE5"/>
    <w:rsid w:val="005E677E"/>
    <w:rsid w:val="005F279A"/>
    <w:rsid w:val="005F6D80"/>
    <w:rsid w:val="006159DA"/>
    <w:rsid w:val="006303E0"/>
    <w:rsid w:val="00635DEB"/>
    <w:rsid w:val="00641579"/>
    <w:rsid w:val="00651C97"/>
    <w:rsid w:val="006554A5"/>
    <w:rsid w:val="006619B9"/>
    <w:rsid w:val="006702B3"/>
    <w:rsid w:val="00675B8B"/>
    <w:rsid w:val="00676190"/>
    <w:rsid w:val="00681462"/>
    <w:rsid w:val="00683396"/>
    <w:rsid w:val="006858ED"/>
    <w:rsid w:val="00686717"/>
    <w:rsid w:val="00686B83"/>
    <w:rsid w:val="00693778"/>
    <w:rsid w:val="006A3B84"/>
    <w:rsid w:val="006B057A"/>
    <w:rsid w:val="006B35C4"/>
    <w:rsid w:val="006C30A5"/>
    <w:rsid w:val="006E03FB"/>
    <w:rsid w:val="006E57F9"/>
    <w:rsid w:val="006E734D"/>
    <w:rsid w:val="006F1183"/>
    <w:rsid w:val="006F1DF2"/>
    <w:rsid w:val="00727B0A"/>
    <w:rsid w:val="00727F84"/>
    <w:rsid w:val="00732533"/>
    <w:rsid w:val="007341E3"/>
    <w:rsid w:val="00735631"/>
    <w:rsid w:val="007440BB"/>
    <w:rsid w:val="00747955"/>
    <w:rsid w:val="0075242E"/>
    <w:rsid w:val="00764F37"/>
    <w:rsid w:val="00786ADE"/>
    <w:rsid w:val="00792665"/>
    <w:rsid w:val="007952C3"/>
    <w:rsid w:val="007A0B1E"/>
    <w:rsid w:val="007B115C"/>
    <w:rsid w:val="007D2A41"/>
    <w:rsid w:val="007E4ED8"/>
    <w:rsid w:val="007F4DE4"/>
    <w:rsid w:val="007F7A90"/>
    <w:rsid w:val="008038B8"/>
    <w:rsid w:val="00804906"/>
    <w:rsid w:val="008131EB"/>
    <w:rsid w:val="00820FED"/>
    <w:rsid w:val="00822EA4"/>
    <w:rsid w:val="00842E6B"/>
    <w:rsid w:val="00844728"/>
    <w:rsid w:val="00845E00"/>
    <w:rsid w:val="008600FF"/>
    <w:rsid w:val="00861A9A"/>
    <w:rsid w:val="00870CD2"/>
    <w:rsid w:val="008713A8"/>
    <w:rsid w:val="008734D4"/>
    <w:rsid w:val="00886C8D"/>
    <w:rsid w:val="00890545"/>
    <w:rsid w:val="00894BAD"/>
    <w:rsid w:val="0089629E"/>
    <w:rsid w:val="0089695C"/>
    <w:rsid w:val="008A32BB"/>
    <w:rsid w:val="008A575F"/>
    <w:rsid w:val="008B0C56"/>
    <w:rsid w:val="008C59E6"/>
    <w:rsid w:val="008C7854"/>
    <w:rsid w:val="008E20CF"/>
    <w:rsid w:val="00901364"/>
    <w:rsid w:val="00906B70"/>
    <w:rsid w:val="0092476D"/>
    <w:rsid w:val="009331EE"/>
    <w:rsid w:val="00936E0C"/>
    <w:rsid w:val="00953E54"/>
    <w:rsid w:val="00961F87"/>
    <w:rsid w:val="009650A9"/>
    <w:rsid w:val="009710A7"/>
    <w:rsid w:val="00974CD9"/>
    <w:rsid w:val="00976AA5"/>
    <w:rsid w:val="00987A49"/>
    <w:rsid w:val="0099495A"/>
    <w:rsid w:val="00996B61"/>
    <w:rsid w:val="009A7B35"/>
    <w:rsid w:val="009B08AA"/>
    <w:rsid w:val="009B0E2C"/>
    <w:rsid w:val="009B35BD"/>
    <w:rsid w:val="009D01F0"/>
    <w:rsid w:val="009D3181"/>
    <w:rsid w:val="009F275C"/>
    <w:rsid w:val="009F3EE4"/>
    <w:rsid w:val="009F7443"/>
    <w:rsid w:val="009F7E90"/>
    <w:rsid w:val="00A14DA0"/>
    <w:rsid w:val="00A164C3"/>
    <w:rsid w:val="00A23881"/>
    <w:rsid w:val="00A529BF"/>
    <w:rsid w:val="00A56EC7"/>
    <w:rsid w:val="00A70DF9"/>
    <w:rsid w:val="00A75A1D"/>
    <w:rsid w:val="00A95F2E"/>
    <w:rsid w:val="00A97630"/>
    <w:rsid w:val="00AA0CAF"/>
    <w:rsid w:val="00AA2C88"/>
    <w:rsid w:val="00AA43E3"/>
    <w:rsid w:val="00AA5F88"/>
    <w:rsid w:val="00AA72B6"/>
    <w:rsid w:val="00AA7866"/>
    <w:rsid w:val="00AB5765"/>
    <w:rsid w:val="00AB68ED"/>
    <w:rsid w:val="00AB7A64"/>
    <w:rsid w:val="00AC2620"/>
    <w:rsid w:val="00AD3016"/>
    <w:rsid w:val="00AD450F"/>
    <w:rsid w:val="00AD4A31"/>
    <w:rsid w:val="00AE18D4"/>
    <w:rsid w:val="00AE3FF6"/>
    <w:rsid w:val="00AF1302"/>
    <w:rsid w:val="00AF28F0"/>
    <w:rsid w:val="00AF75E1"/>
    <w:rsid w:val="00B01DB6"/>
    <w:rsid w:val="00B2143D"/>
    <w:rsid w:val="00B324D3"/>
    <w:rsid w:val="00B33429"/>
    <w:rsid w:val="00B45D19"/>
    <w:rsid w:val="00B515A1"/>
    <w:rsid w:val="00B652AA"/>
    <w:rsid w:val="00B663B8"/>
    <w:rsid w:val="00B678A4"/>
    <w:rsid w:val="00B728C4"/>
    <w:rsid w:val="00B72D30"/>
    <w:rsid w:val="00B92046"/>
    <w:rsid w:val="00BB532A"/>
    <w:rsid w:val="00BB6849"/>
    <w:rsid w:val="00BC4630"/>
    <w:rsid w:val="00BC54B7"/>
    <w:rsid w:val="00BC5687"/>
    <w:rsid w:val="00BD27A9"/>
    <w:rsid w:val="00BE03B1"/>
    <w:rsid w:val="00BE3974"/>
    <w:rsid w:val="00BE3D7D"/>
    <w:rsid w:val="00BF4DFE"/>
    <w:rsid w:val="00C0389E"/>
    <w:rsid w:val="00C0796C"/>
    <w:rsid w:val="00C10ADD"/>
    <w:rsid w:val="00C24983"/>
    <w:rsid w:val="00C35302"/>
    <w:rsid w:val="00C37051"/>
    <w:rsid w:val="00C70553"/>
    <w:rsid w:val="00C70981"/>
    <w:rsid w:val="00C75F45"/>
    <w:rsid w:val="00C82105"/>
    <w:rsid w:val="00C830B7"/>
    <w:rsid w:val="00C8719E"/>
    <w:rsid w:val="00C8728F"/>
    <w:rsid w:val="00C9397B"/>
    <w:rsid w:val="00CA189D"/>
    <w:rsid w:val="00CB00B8"/>
    <w:rsid w:val="00CB7043"/>
    <w:rsid w:val="00CD07C6"/>
    <w:rsid w:val="00CE4088"/>
    <w:rsid w:val="00CE7E4C"/>
    <w:rsid w:val="00CF7C23"/>
    <w:rsid w:val="00D002BB"/>
    <w:rsid w:val="00D00C6B"/>
    <w:rsid w:val="00D039E4"/>
    <w:rsid w:val="00D04B59"/>
    <w:rsid w:val="00D0581A"/>
    <w:rsid w:val="00D06B55"/>
    <w:rsid w:val="00D0774F"/>
    <w:rsid w:val="00D2541B"/>
    <w:rsid w:val="00D4568E"/>
    <w:rsid w:val="00D474BA"/>
    <w:rsid w:val="00D52DB2"/>
    <w:rsid w:val="00D723E1"/>
    <w:rsid w:val="00D73C77"/>
    <w:rsid w:val="00D7720A"/>
    <w:rsid w:val="00D90848"/>
    <w:rsid w:val="00DA0668"/>
    <w:rsid w:val="00DA3898"/>
    <w:rsid w:val="00DA59D2"/>
    <w:rsid w:val="00DA5CB2"/>
    <w:rsid w:val="00DB4FC7"/>
    <w:rsid w:val="00DB5C25"/>
    <w:rsid w:val="00DC03A5"/>
    <w:rsid w:val="00DD01C3"/>
    <w:rsid w:val="00DD1507"/>
    <w:rsid w:val="00DD39C3"/>
    <w:rsid w:val="00DD7378"/>
    <w:rsid w:val="00DF1BD6"/>
    <w:rsid w:val="00E00F10"/>
    <w:rsid w:val="00E0576B"/>
    <w:rsid w:val="00E15E71"/>
    <w:rsid w:val="00E27647"/>
    <w:rsid w:val="00E35C20"/>
    <w:rsid w:val="00E3601A"/>
    <w:rsid w:val="00E36502"/>
    <w:rsid w:val="00E40EC7"/>
    <w:rsid w:val="00E437CF"/>
    <w:rsid w:val="00E475A7"/>
    <w:rsid w:val="00E52262"/>
    <w:rsid w:val="00E52D38"/>
    <w:rsid w:val="00E574A9"/>
    <w:rsid w:val="00E60A17"/>
    <w:rsid w:val="00E706CC"/>
    <w:rsid w:val="00E71D51"/>
    <w:rsid w:val="00E76079"/>
    <w:rsid w:val="00E80A81"/>
    <w:rsid w:val="00E81B24"/>
    <w:rsid w:val="00E87AA4"/>
    <w:rsid w:val="00E90477"/>
    <w:rsid w:val="00E91250"/>
    <w:rsid w:val="00E91D54"/>
    <w:rsid w:val="00E95D0B"/>
    <w:rsid w:val="00E97221"/>
    <w:rsid w:val="00EB27EA"/>
    <w:rsid w:val="00EB6180"/>
    <w:rsid w:val="00EC1863"/>
    <w:rsid w:val="00ED0929"/>
    <w:rsid w:val="00ED19F6"/>
    <w:rsid w:val="00ED38F4"/>
    <w:rsid w:val="00EE5348"/>
    <w:rsid w:val="00EF0F01"/>
    <w:rsid w:val="00EF3019"/>
    <w:rsid w:val="00F0705D"/>
    <w:rsid w:val="00F20746"/>
    <w:rsid w:val="00F3395C"/>
    <w:rsid w:val="00F4791F"/>
    <w:rsid w:val="00F529C1"/>
    <w:rsid w:val="00F546BE"/>
    <w:rsid w:val="00F62D02"/>
    <w:rsid w:val="00F7278A"/>
    <w:rsid w:val="00F82BAE"/>
    <w:rsid w:val="00F84A5A"/>
    <w:rsid w:val="00F84DB7"/>
    <w:rsid w:val="00FA156C"/>
    <w:rsid w:val="00FA36CD"/>
    <w:rsid w:val="00FD1CE1"/>
    <w:rsid w:val="00FD4687"/>
    <w:rsid w:val="00FD55BF"/>
    <w:rsid w:val="00FE175A"/>
    <w:rsid w:val="00FF0F47"/>
    <w:rsid w:val="00FF5482"/>
    <w:rsid w:val="02BE378E"/>
    <w:rsid w:val="03162A63"/>
    <w:rsid w:val="03B629A7"/>
    <w:rsid w:val="04436E0D"/>
    <w:rsid w:val="05097AD0"/>
    <w:rsid w:val="05B47810"/>
    <w:rsid w:val="06776BD7"/>
    <w:rsid w:val="072E6CF9"/>
    <w:rsid w:val="07A373DE"/>
    <w:rsid w:val="07B471FE"/>
    <w:rsid w:val="080A233D"/>
    <w:rsid w:val="098914FB"/>
    <w:rsid w:val="0B114967"/>
    <w:rsid w:val="0C580AA0"/>
    <w:rsid w:val="0D3A05F9"/>
    <w:rsid w:val="0D766D04"/>
    <w:rsid w:val="0ED65CAC"/>
    <w:rsid w:val="112E0D9D"/>
    <w:rsid w:val="11353965"/>
    <w:rsid w:val="11902A8A"/>
    <w:rsid w:val="11DF6210"/>
    <w:rsid w:val="12163987"/>
    <w:rsid w:val="143578D9"/>
    <w:rsid w:val="154871D8"/>
    <w:rsid w:val="16850783"/>
    <w:rsid w:val="1706559C"/>
    <w:rsid w:val="173E694A"/>
    <w:rsid w:val="18A4506D"/>
    <w:rsid w:val="18AA09A3"/>
    <w:rsid w:val="1AD87CF6"/>
    <w:rsid w:val="1B1C0EEA"/>
    <w:rsid w:val="1B430B6D"/>
    <w:rsid w:val="1BDF0C85"/>
    <w:rsid w:val="1D905BC0"/>
    <w:rsid w:val="1DBC4C07"/>
    <w:rsid w:val="1F672950"/>
    <w:rsid w:val="1F817EB6"/>
    <w:rsid w:val="1F861028"/>
    <w:rsid w:val="1FCB7383"/>
    <w:rsid w:val="1FD04999"/>
    <w:rsid w:val="1FFF5843"/>
    <w:rsid w:val="2040567B"/>
    <w:rsid w:val="22645B7F"/>
    <w:rsid w:val="22714212"/>
    <w:rsid w:val="24B93C4E"/>
    <w:rsid w:val="25244605"/>
    <w:rsid w:val="273B6B9C"/>
    <w:rsid w:val="29526B2C"/>
    <w:rsid w:val="2DD35D80"/>
    <w:rsid w:val="2DD45655"/>
    <w:rsid w:val="2E04418C"/>
    <w:rsid w:val="2EE54C07"/>
    <w:rsid w:val="30337708"/>
    <w:rsid w:val="3038636F"/>
    <w:rsid w:val="33B421B0"/>
    <w:rsid w:val="34306BF6"/>
    <w:rsid w:val="346B0553"/>
    <w:rsid w:val="34A264AC"/>
    <w:rsid w:val="353115DE"/>
    <w:rsid w:val="362077DC"/>
    <w:rsid w:val="376712E7"/>
    <w:rsid w:val="37D10ABD"/>
    <w:rsid w:val="38432C16"/>
    <w:rsid w:val="387C7014"/>
    <w:rsid w:val="3885411B"/>
    <w:rsid w:val="395B4E7C"/>
    <w:rsid w:val="39693A3D"/>
    <w:rsid w:val="39D211E3"/>
    <w:rsid w:val="3B4F3D97"/>
    <w:rsid w:val="3C634773"/>
    <w:rsid w:val="3D2A34E3"/>
    <w:rsid w:val="3EB56DDC"/>
    <w:rsid w:val="41664C14"/>
    <w:rsid w:val="41AE43ED"/>
    <w:rsid w:val="42132798"/>
    <w:rsid w:val="424C1FC8"/>
    <w:rsid w:val="44404F26"/>
    <w:rsid w:val="44CD794E"/>
    <w:rsid w:val="44E93C84"/>
    <w:rsid w:val="452B4837"/>
    <w:rsid w:val="4585575A"/>
    <w:rsid w:val="46883D8B"/>
    <w:rsid w:val="46C2653A"/>
    <w:rsid w:val="474C71FC"/>
    <w:rsid w:val="48A307C2"/>
    <w:rsid w:val="491F5EC6"/>
    <w:rsid w:val="4A227604"/>
    <w:rsid w:val="4A340B5E"/>
    <w:rsid w:val="4B5A0954"/>
    <w:rsid w:val="4BEA6327"/>
    <w:rsid w:val="4C895F48"/>
    <w:rsid w:val="4DAD3EFF"/>
    <w:rsid w:val="4DF96CE5"/>
    <w:rsid w:val="4E10402F"/>
    <w:rsid w:val="4EC76DE4"/>
    <w:rsid w:val="4F4915A7"/>
    <w:rsid w:val="4FB163F5"/>
    <w:rsid w:val="518F5CFD"/>
    <w:rsid w:val="5232546E"/>
    <w:rsid w:val="52C40904"/>
    <w:rsid w:val="53A45945"/>
    <w:rsid w:val="54483D0D"/>
    <w:rsid w:val="56137B46"/>
    <w:rsid w:val="56F07E35"/>
    <w:rsid w:val="57B7148B"/>
    <w:rsid w:val="59205A6E"/>
    <w:rsid w:val="59D507E9"/>
    <w:rsid w:val="5A250E62"/>
    <w:rsid w:val="5A36306F"/>
    <w:rsid w:val="5AC43BD2"/>
    <w:rsid w:val="5B78547E"/>
    <w:rsid w:val="5BEA67D6"/>
    <w:rsid w:val="5C9A677B"/>
    <w:rsid w:val="5D487CC6"/>
    <w:rsid w:val="5DD33754"/>
    <w:rsid w:val="5F3202A9"/>
    <w:rsid w:val="5F7A5A91"/>
    <w:rsid w:val="5FD20466"/>
    <w:rsid w:val="60F31CBA"/>
    <w:rsid w:val="615E35D8"/>
    <w:rsid w:val="61B8205C"/>
    <w:rsid w:val="62D84CC4"/>
    <w:rsid w:val="63C277DD"/>
    <w:rsid w:val="64205127"/>
    <w:rsid w:val="642503DD"/>
    <w:rsid w:val="65B0017A"/>
    <w:rsid w:val="660C32BE"/>
    <w:rsid w:val="66732BE6"/>
    <w:rsid w:val="68016A6B"/>
    <w:rsid w:val="681A5D7E"/>
    <w:rsid w:val="690A0FAC"/>
    <w:rsid w:val="69A578CA"/>
    <w:rsid w:val="69A753F0"/>
    <w:rsid w:val="6BEF06D7"/>
    <w:rsid w:val="6D2B6338"/>
    <w:rsid w:val="6DC24EEE"/>
    <w:rsid w:val="6EC05342"/>
    <w:rsid w:val="6F984159"/>
    <w:rsid w:val="706933FF"/>
    <w:rsid w:val="711D41EA"/>
    <w:rsid w:val="71381023"/>
    <w:rsid w:val="71CA682F"/>
    <w:rsid w:val="72A10215"/>
    <w:rsid w:val="73B61051"/>
    <w:rsid w:val="73F2195D"/>
    <w:rsid w:val="743D707D"/>
    <w:rsid w:val="75330480"/>
    <w:rsid w:val="75CB06B8"/>
    <w:rsid w:val="766A63BC"/>
    <w:rsid w:val="769D2054"/>
    <w:rsid w:val="76A038F3"/>
    <w:rsid w:val="774C5829"/>
    <w:rsid w:val="77770AF7"/>
    <w:rsid w:val="77C42A0E"/>
    <w:rsid w:val="7B2204A3"/>
    <w:rsid w:val="7C193E9A"/>
    <w:rsid w:val="7E355268"/>
    <w:rsid w:val="7EB97C47"/>
    <w:rsid w:val="7EF2624D"/>
    <w:rsid w:val="7F072C2A"/>
    <w:rsid w:val="7FAF30BB"/>
    <w:rsid w:val="7FBA5A25"/>
    <w:rsid w:val="ABF5C0EA"/>
    <w:rsid w:val="DDFF36A8"/>
    <w:rsid w:val="E7DF2FE8"/>
    <w:rsid w:val="EFF55EAA"/>
    <w:rsid w:val="FFAF96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rFonts w:ascii="Calibri" w:hAnsi="Calibri" w:eastAsia="宋体"/>
      <w:kern w:val="0"/>
      <w:sz w:val="24"/>
      <w:szCs w:val="24"/>
    </w:rPr>
  </w:style>
  <w:style w:type="table" w:styleId="7">
    <w:name w:val="Table Grid"/>
    <w:basedOn w:val="6"/>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标题 1 Char"/>
    <w:link w:val="2"/>
    <w:qFormat/>
    <w:uiPriority w:val="9"/>
    <w:rPr>
      <w:rFonts w:ascii="宋体" w:hAnsi="宋体" w:eastAsia="仿宋_GB2312"/>
      <w:b/>
      <w:bCs/>
      <w:kern w:val="36"/>
      <w:sz w:val="48"/>
      <w:szCs w:val="48"/>
    </w:rPr>
  </w:style>
  <w:style w:type="character" w:customStyle="1" w:styleId="10">
    <w:name w:val="页脚 Char"/>
    <w:link w:val="3"/>
    <w:qFormat/>
    <w:uiPriority w:val="99"/>
    <w:rPr>
      <w:rFonts w:ascii="Times New Roman" w:hAnsi="Times New Roman" w:eastAsia="仿宋_GB2312"/>
      <w:kern w:val="2"/>
      <w:sz w:val="18"/>
      <w:szCs w:val="18"/>
    </w:rPr>
  </w:style>
  <w:style w:type="character" w:customStyle="1" w:styleId="11">
    <w:name w:val="页眉 Char"/>
    <w:link w:val="4"/>
    <w:qFormat/>
    <w:uiPriority w:val="0"/>
    <w:rPr>
      <w:rFonts w:ascii="Times New Roman" w:hAnsi="Times New Roman" w:eastAsia="仿宋_GB2312"/>
      <w:kern w:val="2"/>
      <w:sz w:val="18"/>
      <w:szCs w:val="22"/>
    </w:rPr>
  </w:style>
  <w:style w:type="paragraph" w:styleId="12">
    <w:name w:val="List Paragraph"/>
    <w:basedOn w:val="1"/>
    <w:qFormat/>
    <w:uiPriority w:val="34"/>
    <w:pPr>
      <w:ind w:firstLine="420" w:firstLineChars="200"/>
    </w:pPr>
    <w:rPr>
      <w:rFonts w:ascii="Calibri" w:hAnsi="Calibri"/>
    </w:rPr>
  </w:style>
  <w:style w:type="character" w:customStyle="1" w:styleId="13">
    <w:name w:val="font11"/>
    <w:qFormat/>
    <w:uiPriority w:val="0"/>
    <w:rPr>
      <w:rFonts w:hint="eastAsia" w:ascii="宋体" w:hAnsi="宋体" w:eastAsia="宋体" w:cs="宋体"/>
      <w:color w:val="000000"/>
      <w:sz w:val="21"/>
      <w:szCs w:val="21"/>
      <w:u w:val="none"/>
    </w:rPr>
  </w:style>
  <w:style w:type="character" w:customStyle="1" w:styleId="14">
    <w:name w:val="font61"/>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6167</Words>
  <Characters>6530</Characters>
  <Lines>77</Lines>
  <Paragraphs>21</Paragraphs>
  <TotalTime>955</TotalTime>
  <ScaleCrop>false</ScaleCrop>
  <LinksUpToDate>false</LinksUpToDate>
  <CharactersWithSpaces>6650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2023-10-12T09:08:00Z</dcterms:created>
  <dc:creator>lenovo</dc:creator>
  <cp:lastModifiedBy>tiger06185</cp:lastModifiedBy>
  <cp:lastPrinted>2023-12-27T01:27:05Z</cp:lastPrinted>
  <dcterms:modified xsi:type="dcterms:W3CDTF">2023-12-27T01:27:09Z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F51956775B534DD0B63B6441CAB11232_13</vt:lpwstr>
  </property>
</Properties>
</file>