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272520">
      <w:pPr>
        <w:spacing w:line="360" w:lineRule="auto"/>
        <w:jc w:val="center"/>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湖南省建筑施工项目安全监督交底（模板）</w:t>
      </w:r>
    </w:p>
    <w:p w14:paraId="40C81A36">
      <w:pPr>
        <w:spacing w:line="360" w:lineRule="auto"/>
        <w:jc w:val="center"/>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（2026版）</w:t>
      </w:r>
    </w:p>
    <w:p w14:paraId="57A25E6F">
      <w:pPr>
        <w:pStyle w:val="7"/>
        <w:widowControl/>
        <w:kinsoku w:val="0"/>
        <w:autoSpaceDE w:val="0"/>
        <w:autoSpaceDN w:val="0"/>
        <w:adjustRightInd w:val="0"/>
        <w:snapToGrid w:val="0"/>
        <w:textAlignment w:val="baseline"/>
        <w:rPr>
          <w:b/>
          <w:bCs/>
          <w:spacing w:val="-6"/>
          <w:lang w:eastAsia="zh-CN"/>
        </w:rPr>
      </w:pPr>
    </w:p>
    <w:p w14:paraId="0B0DB9D8">
      <w:pPr>
        <w:pStyle w:val="7"/>
        <w:tabs>
          <w:tab w:val="left" w:pos="8732"/>
        </w:tabs>
        <w:spacing w:before="186" w:line="480" w:lineRule="auto"/>
        <w:rPr>
          <w:spacing w:val="6"/>
          <w:lang w:eastAsia="zh-CN"/>
        </w:rPr>
      </w:pPr>
    </w:p>
    <w:p w14:paraId="289F4E10">
      <w:pPr>
        <w:pStyle w:val="7"/>
        <w:tabs>
          <w:tab w:val="left" w:pos="8732"/>
        </w:tabs>
        <w:spacing w:before="186" w:line="720" w:lineRule="auto"/>
        <w:ind w:left="646" w:firstLine="6"/>
        <w:rPr>
          <w:u w:val="single"/>
          <w:lang w:eastAsia="zh-CN"/>
        </w:rPr>
      </w:pPr>
      <w:r>
        <w:rPr>
          <w:spacing w:val="6"/>
          <w:lang w:eastAsia="zh-CN"/>
        </w:rPr>
        <w:t>项目名称：</w:t>
      </w:r>
      <w:r>
        <w:rPr>
          <w:u w:val="single"/>
          <w:lang w:eastAsia="zh-CN"/>
        </w:rPr>
        <w:tab/>
      </w:r>
      <w:r>
        <w:rPr>
          <w:lang w:eastAsia="zh-CN"/>
        </w:rPr>
        <w:t xml:space="preserve"> </w:t>
      </w:r>
      <w:r>
        <w:rPr>
          <w:spacing w:val="8"/>
          <w:lang w:eastAsia="zh-CN"/>
        </w:rPr>
        <w:t>建设单位：</w:t>
      </w:r>
      <w:r>
        <w:rPr>
          <w:u w:val="single"/>
          <w:lang w:eastAsia="zh-CN"/>
        </w:rPr>
        <w:tab/>
      </w:r>
      <w:r>
        <w:rPr>
          <w:lang w:eastAsia="zh-CN"/>
        </w:rPr>
        <w:t xml:space="preserve"> </w:t>
      </w:r>
      <w:r>
        <w:rPr>
          <w:rFonts w:hint="eastAsia"/>
          <w:spacing w:val="8"/>
          <w:lang w:eastAsia="zh-CN"/>
        </w:rPr>
        <w:t>勘察</w:t>
      </w:r>
      <w:r>
        <w:rPr>
          <w:spacing w:val="8"/>
          <w:lang w:eastAsia="zh-CN"/>
        </w:rPr>
        <w:t>单位：</w:t>
      </w:r>
      <w:r>
        <w:rPr>
          <w:u w:val="single"/>
          <w:lang w:eastAsia="zh-CN"/>
        </w:rPr>
        <w:tab/>
      </w:r>
      <w:r>
        <w:rPr>
          <w:lang w:eastAsia="zh-CN"/>
        </w:rPr>
        <w:t xml:space="preserve"> </w:t>
      </w:r>
      <w:r>
        <w:rPr>
          <w:rFonts w:hint="eastAsia"/>
          <w:spacing w:val="8"/>
          <w:lang w:eastAsia="zh-CN"/>
        </w:rPr>
        <w:t>设计</w:t>
      </w:r>
      <w:r>
        <w:rPr>
          <w:spacing w:val="8"/>
          <w:lang w:eastAsia="zh-CN"/>
        </w:rPr>
        <w:t>单位：</w:t>
      </w:r>
      <w:r>
        <w:rPr>
          <w:u w:val="single"/>
          <w:lang w:eastAsia="zh-CN"/>
        </w:rPr>
        <w:tab/>
      </w:r>
      <w:r>
        <w:rPr>
          <w:lang w:eastAsia="zh-CN"/>
        </w:rPr>
        <w:t xml:space="preserve"> </w:t>
      </w:r>
      <w:r>
        <w:rPr>
          <w:rFonts w:hint="eastAsia"/>
          <w:spacing w:val="8"/>
          <w:lang w:eastAsia="zh-CN"/>
        </w:rPr>
        <w:t>监理</w:t>
      </w:r>
      <w:r>
        <w:rPr>
          <w:spacing w:val="8"/>
          <w:lang w:eastAsia="zh-CN"/>
        </w:rPr>
        <w:t>单位：</w:t>
      </w:r>
      <w:r>
        <w:rPr>
          <w:u w:val="single"/>
          <w:lang w:eastAsia="zh-CN"/>
        </w:rPr>
        <w:tab/>
      </w:r>
      <w:r>
        <w:rPr>
          <w:lang w:eastAsia="zh-CN"/>
        </w:rPr>
        <w:t xml:space="preserve"> </w:t>
      </w:r>
      <w:r>
        <w:rPr>
          <w:rFonts w:hint="eastAsia"/>
          <w:spacing w:val="8"/>
          <w:lang w:eastAsia="zh-CN"/>
        </w:rPr>
        <w:t>施工</w:t>
      </w:r>
      <w:r>
        <w:rPr>
          <w:spacing w:val="8"/>
          <w:lang w:eastAsia="zh-CN"/>
        </w:rPr>
        <w:t>单位：</w:t>
      </w:r>
      <w:r>
        <w:rPr>
          <w:u w:val="single"/>
          <w:lang w:eastAsia="zh-CN"/>
        </w:rPr>
        <w:tab/>
      </w:r>
    </w:p>
    <w:p w14:paraId="0282974E">
      <w:pPr>
        <w:widowControl/>
        <w:kinsoku w:val="0"/>
        <w:autoSpaceDE w:val="0"/>
        <w:autoSpaceDN w:val="0"/>
        <w:adjustRightInd w:val="0"/>
        <w:snapToGrid w:val="0"/>
        <w:textAlignment w:val="baseline"/>
        <w:rPr>
          <w:rFonts w:hint="eastAsia" w:ascii="微软雅黑" w:hAnsi="微软雅黑" w:eastAsia="微软雅黑" w:cs="微软雅黑"/>
          <w:sz w:val="44"/>
          <w:szCs w:val="44"/>
        </w:rPr>
      </w:pPr>
    </w:p>
    <w:p w14:paraId="66F3367E">
      <w:pPr>
        <w:widowControl/>
        <w:kinsoku w:val="0"/>
        <w:autoSpaceDE w:val="0"/>
        <w:autoSpaceDN w:val="0"/>
        <w:adjustRightInd w:val="0"/>
        <w:snapToGrid w:val="0"/>
        <w:textAlignment w:val="baseline"/>
        <w:rPr>
          <w:rFonts w:hint="eastAsia" w:ascii="微软雅黑" w:hAnsi="微软雅黑" w:eastAsia="微软雅黑" w:cs="微软雅黑"/>
          <w:sz w:val="44"/>
          <w:szCs w:val="44"/>
        </w:rPr>
      </w:pPr>
    </w:p>
    <w:p w14:paraId="1B7E7198">
      <w:pPr>
        <w:widowControl/>
        <w:kinsoku w:val="0"/>
        <w:autoSpaceDE w:val="0"/>
        <w:autoSpaceDN w:val="0"/>
        <w:adjustRightInd w:val="0"/>
        <w:snapToGrid w:val="0"/>
        <w:jc w:val="center"/>
        <w:textAlignment w:val="baseline"/>
        <w:rPr>
          <w:rFonts w:hint="eastAsia" w:ascii="微软雅黑" w:hAnsi="微软雅黑" w:eastAsia="微软雅黑" w:cs="微软雅黑"/>
          <w:sz w:val="44"/>
          <w:szCs w:val="44"/>
        </w:rPr>
        <w:sectPr>
          <w:footerReference r:id="rId3" w:type="default"/>
          <w:pgSz w:w="11907" w:h="16839"/>
          <w:pgMar w:top="1431" w:right="1526" w:bottom="0" w:left="1542" w:header="0" w:footer="0" w:gutter="0"/>
          <w:cols w:space="720" w:num="1"/>
        </w:sectPr>
      </w:pPr>
      <w:r>
        <w:rPr>
          <w:rFonts w:hint="eastAsia" w:ascii="微软雅黑" w:hAnsi="微软雅黑" w:eastAsia="微软雅黑" w:cs="微软雅黑"/>
          <w:sz w:val="44"/>
          <w:szCs w:val="44"/>
        </w:rPr>
        <w:t>湖南省建设工程质量安全监督管理总站编制</w:t>
      </w:r>
    </w:p>
    <w:p w14:paraId="5CD89B53">
      <w:pPr>
        <w:pStyle w:val="12"/>
        <w:spacing w:before="0" w:beforeAutospacing="0" w:after="0" w:afterAutospacing="0"/>
        <w:ind w:firstLine="640" w:firstLineChars="200"/>
        <w:rPr>
          <w:rFonts w:hint="eastAsia" w:ascii="黑体" w:hAnsi="黑体" w:eastAsia="黑体" w:cs="黑体"/>
          <w:spacing w:val="7"/>
          <w:sz w:val="31"/>
          <w:szCs w:val="31"/>
        </w:rPr>
      </w:pPr>
      <w:r>
        <w:rPr>
          <w:rFonts w:hint="eastAsia" w:ascii="华文仿宋" w:hAnsi="华文仿宋" w:eastAsia="华文仿宋" w:cs="华文仿宋"/>
          <w:color w:val="000000" w:themeColor="text1"/>
          <w:sz w:val="32"/>
          <w:szCs w:val="32"/>
          <w:shd w:val="clear" w:color="auto" w:fill="FFFFFF"/>
          <w14:textFill>
            <w14:solidFill>
              <w14:schemeClr w14:val="tx1"/>
            </w14:solidFill>
          </w14:textFill>
        </w:rPr>
        <w:t>为规范建筑施工安全监督工作，保障工程建设生产安全，现就本项目施工安全监督工作交底如下：</w:t>
      </w:r>
    </w:p>
    <w:p w14:paraId="7CCBA773">
      <w:pPr>
        <w:pStyle w:val="7"/>
        <w:ind w:firstLine="648" w:firstLineChars="200"/>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pPr>
      <w:r>
        <w:rPr>
          <w:rFonts w:hint="eastAsia" w:ascii="黑体" w:hAnsi="黑体" w:eastAsia="黑体" w:cs="黑体"/>
          <w:spacing w:val="7"/>
          <w:sz w:val="31"/>
          <w:szCs w:val="31"/>
          <w:lang w:eastAsia="zh-CN"/>
        </w:rPr>
        <w:t>一、工程概况</w:t>
      </w:r>
    </w:p>
    <w:p w14:paraId="2BE3E0FD">
      <w:pPr>
        <w:pStyle w:val="7"/>
        <w:ind w:firstLine="633"/>
        <w:rPr>
          <w:rFonts w:hint="eastAsia" w:ascii="华文仿宋" w:hAnsi="华文仿宋" w:eastAsia="华文仿宋" w:cs="华文仿宋"/>
          <w:color w:val="000000" w:themeColor="text1"/>
          <w:sz w:val="32"/>
          <w:szCs w:val="32"/>
          <w:shd w:val="clear" w:color="auto" w:fill="FFFFFF"/>
          <w:lang w:eastAsia="zh-CN"/>
          <w14:textFill>
            <w14:solidFill>
              <w14:schemeClr w14:val="tx1"/>
            </w14:solidFill>
          </w14:textFill>
        </w:rPr>
      </w:pPr>
      <w:r>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t>项目规模：建筑面积</w:t>
      </w:r>
      <w:r>
        <w:rPr>
          <w:rFonts w:hint="eastAsia" w:ascii="华文仿宋" w:hAnsi="华文仿宋" w:eastAsia="华文仿宋" w:cs="华文仿宋"/>
          <w:color w:val="000000" w:themeColor="text1"/>
          <w:kern w:val="0"/>
          <w:sz w:val="32"/>
          <w:szCs w:val="32"/>
          <w:u w:val="single"/>
          <w:shd w:val="clear" w:color="auto" w:fill="FFFFFF"/>
          <w:lang w:eastAsia="zh-CN"/>
          <w14:textFill>
            <w14:solidFill>
              <w14:schemeClr w14:val="tx1"/>
            </w14:solidFill>
          </w14:textFill>
        </w:rPr>
        <w:t xml:space="preserve">        </w:t>
      </w:r>
      <w:r>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t>平方米，造价</w:t>
      </w:r>
      <w:r>
        <w:rPr>
          <w:rFonts w:hint="eastAsia" w:ascii="华文仿宋" w:hAnsi="华文仿宋" w:eastAsia="华文仿宋" w:cs="华文仿宋"/>
          <w:color w:val="000000" w:themeColor="text1"/>
          <w:kern w:val="0"/>
          <w:sz w:val="32"/>
          <w:szCs w:val="32"/>
          <w:u w:val="single"/>
          <w:shd w:val="clear" w:color="auto" w:fill="FFFFFF"/>
          <w:lang w:eastAsia="zh-CN"/>
          <w14:textFill>
            <w14:solidFill>
              <w14:schemeClr w14:val="tx1"/>
            </w14:solidFill>
          </w14:textFill>
        </w:rPr>
        <w:t xml:space="preserve">        </w:t>
      </w:r>
      <w:r>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t>万元，建筑高度</w:t>
      </w:r>
      <w:r>
        <w:rPr>
          <w:rFonts w:hint="eastAsia" w:ascii="华文仿宋" w:hAnsi="华文仿宋" w:eastAsia="华文仿宋" w:cs="华文仿宋"/>
          <w:color w:val="000000" w:themeColor="text1"/>
          <w:kern w:val="0"/>
          <w:sz w:val="32"/>
          <w:szCs w:val="32"/>
          <w:u w:val="single"/>
          <w:shd w:val="clear" w:color="auto" w:fill="FFFFFF"/>
          <w:lang w:eastAsia="zh-CN"/>
          <w14:textFill>
            <w14:solidFill>
              <w14:schemeClr w14:val="tx1"/>
            </w14:solidFill>
          </w14:textFill>
        </w:rPr>
        <w:t xml:space="preserve">   </w:t>
      </w:r>
      <w:r>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t>米，计划开工时间</w:t>
      </w:r>
      <w:r>
        <w:rPr>
          <w:rFonts w:hint="eastAsia" w:ascii="华文仿宋" w:hAnsi="华文仿宋" w:eastAsia="华文仿宋" w:cs="华文仿宋"/>
          <w:color w:val="000000" w:themeColor="text1"/>
          <w:kern w:val="0"/>
          <w:sz w:val="32"/>
          <w:szCs w:val="32"/>
          <w:u w:val="single"/>
          <w:shd w:val="clear" w:color="auto" w:fill="FFFFFF"/>
          <w:lang w:eastAsia="zh-CN"/>
          <w14:textFill>
            <w14:solidFill>
              <w14:schemeClr w14:val="tx1"/>
            </w14:solidFill>
          </w14:textFill>
        </w:rPr>
        <w:t xml:space="preserve">       </w:t>
      </w:r>
      <w:r>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t>，计划竣工时间</w:t>
      </w:r>
      <w:r>
        <w:rPr>
          <w:rFonts w:hint="eastAsia" w:ascii="华文仿宋" w:hAnsi="华文仿宋" w:eastAsia="华文仿宋" w:cs="华文仿宋"/>
          <w:color w:val="000000" w:themeColor="text1"/>
          <w:kern w:val="0"/>
          <w:sz w:val="32"/>
          <w:szCs w:val="32"/>
          <w:u w:val="single"/>
          <w:shd w:val="clear" w:color="auto" w:fill="FFFFFF"/>
          <w:lang w:eastAsia="zh-CN"/>
          <w14:textFill>
            <w14:solidFill>
              <w14:schemeClr w14:val="tx1"/>
            </w14:solidFill>
          </w14:textFill>
        </w:rPr>
        <w:t xml:space="preserve">        </w:t>
      </w:r>
      <w:r>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t>。</w:t>
      </w:r>
    </w:p>
    <w:p w14:paraId="603B0746">
      <w:pPr>
        <w:pStyle w:val="2"/>
        <w:overflowPunct w:val="0"/>
        <w:ind w:firstLine="648" w:firstLineChars="200"/>
        <w:jc w:val="both"/>
        <w:rPr>
          <w:rFonts w:hint="eastAsia"/>
        </w:rPr>
      </w:pPr>
      <w:r>
        <w:rPr>
          <w:rFonts w:hint="eastAsia" w:ascii="黑体" w:hAnsi="黑体" w:eastAsia="黑体" w:cs="黑体"/>
          <w:spacing w:val="7"/>
          <w:sz w:val="31"/>
          <w:szCs w:val="31"/>
        </w:rPr>
        <w:t>二、</w:t>
      </w:r>
      <w:r>
        <w:rPr>
          <w:rFonts w:ascii="黑体" w:hAnsi="黑体" w:eastAsia="黑体" w:cs="黑体"/>
          <w:spacing w:val="7"/>
          <w:sz w:val="31"/>
          <w:szCs w:val="31"/>
        </w:rPr>
        <w:t>监督依据</w:t>
      </w:r>
    </w:p>
    <w:p w14:paraId="5392FF91">
      <w:pPr>
        <w:ind w:firstLine="640" w:firstLineChars="200"/>
      </w:pPr>
      <w:r>
        <w:rPr>
          <w:rFonts w:hint="eastAsia" w:ascii="华文仿宋" w:hAnsi="华文仿宋" w:eastAsia="华文仿宋" w:cs="华文仿宋"/>
          <w:color w:val="000000" w:themeColor="text1"/>
          <w:kern w:val="0"/>
          <w:sz w:val="32"/>
          <w:szCs w:val="32"/>
          <w:shd w:val="clear" w:color="auto" w:fill="FFFFFF"/>
          <w14:textFill>
            <w14:solidFill>
              <w14:schemeClr w14:val="tx1"/>
            </w14:solidFill>
          </w14:textFill>
        </w:rPr>
        <w:t>《中华人民共和国建筑法》《中华人民共和国安全生产法》 《建设工程安全生产管理条例》《湖南省建设工程质量和安全生产管理条例》《房屋建筑和市政基础设施工程施工安全监督规定》《房屋建筑和市政基础设施工程施工安全监督工作规程》《危险性较大的分部分项工程安全管理规定》《建筑施工特种作业人员管理规定》《建筑施工企业、工程项目安全生产管理机构设置及安全生产管理人员配备办法》《房屋市政工程生产安全重大事故隐患判定标准（2024版）》《湖南省建筑工程开工安全生产条件审查制度》《湖南省住房和城乡建设厅关于加强房屋市政工程开工安全生产条件审查的通知》《湖南省房屋建筑和市政工程施工许可管理实施细则》《湖南省房屋市政工程施工现场关键岗位人员配备及履职管理办法》《湖南省房屋市政工程建筑施工安全质量标准化考评实施细则》《湖南省建筑工程质量安全监理报告制度实施办法》《关于进一步加强房屋市政工程建设项目关键岗位人员和其他相关人员核查工作的通知》《关于超规模危险性较大的分部分项工程及高边坡工程推行“一录入”“六到场”安全监督模式的通知》</w:t>
      </w:r>
      <w:r>
        <w:rPr>
          <w:rFonts w:hint="eastAsia" w:ascii="仿宋" w:hAnsi="仿宋" w:eastAsia="仿宋" w:cs="仿宋"/>
          <w:color w:val="000000" w:themeColor="text1"/>
          <w:sz w:val="32"/>
          <w:szCs w:val="32"/>
          <w14:textFill>
            <w14:solidFill>
              <w14:schemeClr w14:val="tx1"/>
            </w14:solidFill>
          </w14:textFill>
        </w:rPr>
        <w:t>《关于进一步提升建筑工程质量安全监督规范化工作水平的通知》</w:t>
      </w:r>
      <w:r>
        <w:rPr>
          <w:rFonts w:hint="eastAsia" w:ascii="仿宋" w:hAnsi="仿宋" w:eastAsia="仿宋" w:cs="仿宋"/>
          <w:sz w:val="32"/>
          <w:szCs w:val="32"/>
        </w:rPr>
        <w:t>；</w:t>
      </w:r>
      <w:r>
        <w:rPr>
          <w:rFonts w:hint="eastAsia" w:ascii="华文仿宋" w:hAnsi="华文仿宋" w:eastAsia="华文仿宋" w:cs="华文仿宋"/>
          <w:color w:val="000000" w:themeColor="text1"/>
          <w:kern w:val="0"/>
          <w:sz w:val="32"/>
          <w:szCs w:val="32"/>
          <w:shd w:val="clear" w:color="auto" w:fill="FFFFFF"/>
          <w14:textFill>
            <w14:solidFill>
              <w14:schemeClr w14:val="tx1"/>
            </w14:solidFill>
          </w14:textFill>
        </w:rPr>
        <w:t>其他相关法律法规和文件规定及标准规范。</w:t>
      </w:r>
    </w:p>
    <w:p w14:paraId="4963302C">
      <w:pPr>
        <w:pStyle w:val="2"/>
        <w:overflowPunct w:val="0"/>
        <w:ind w:firstLine="648" w:firstLineChars="200"/>
        <w:jc w:val="both"/>
        <w:rPr>
          <w:rFonts w:hint="eastAsia" w:ascii="黑体" w:hAnsi="黑体" w:eastAsia="黑体" w:cs="黑体"/>
          <w:spacing w:val="7"/>
          <w:sz w:val="31"/>
          <w:szCs w:val="31"/>
        </w:rPr>
      </w:pPr>
      <w:r>
        <w:rPr>
          <w:rFonts w:hint="eastAsia" w:ascii="黑体" w:hAnsi="黑体" w:eastAsia="黑体" w:cs="黑体"/>
          <w:spacing w:val="7"/>
          <w:sz w:val="31"/>
          <w:szCs w:val="31"/>
        </w:rPr>
        <w:t>三、监督工作方式</w:t>
      </w:r>
    </w:p>
    <w:p w14:paraId="7D3BE14C">
      <w:pPr>
        <w:overflowPunct w:val="0"/>
        <w:ind w:firstLine="640" w:firstLineChars="200"/>
        <w:jc w:val="left"/>
        <w:rPr>
          <w:rFonts w:hint="eastAsia" w:ascii="仿宋" w:hAnsi="仿宋" w:eastAsia="仿宋" w:cs="仿宋"/>
          <w:sz w:val="32"/>
          <w:szCs w:val="32"/>
        </w:rPr>
      </w:pPr>
      <w:r>
        <w:rPr>
          <w:rFonts w:hint="eastAsia" w:ascii="仿宋" w:hAnsi="仿宋" w:eastAsia="仿宋" w:cs="仿宋"/>
          <w:sz w:val="32"/>
          <w:szCs w:val="32"/>
        </w:rPr>
        <w:t>该工程的建筑施工安全监督工作由监督组组长</w:t>
      </w:r>
      <w:r>
        <w:rPr>
          <w:rFonts w:hint="eastAsia" w:ascii="仿宋" w:hAnsi="仿宋" w:eastAsia="仿宋" w:cs="仿宋"/>
          <w:sz w:val="32"/>
          <w:szCs w:val="32"/>
          <w:u w:val="single"/>
        </w:rPr>
        <w:t xml:space="preserve">          </w:t>
      </w:r>
      <w:r>
        <w:rPr>
          <w:rFonts w:hint="eastAsia" w:ascii="仿宋" w:hAnsi="仿宋" w:eastAsia="仿宋" w:cs="仿宋"/>
          <w:sz w:val="32"/>
          <w:szCs w:val="32"/>
        </w:rPr>
        <w:t>、 监督工程师</w:t>
      </w:r>
      <w:r>
        <w:rPr>
          <w:rFonts w:hint="eastAsia" w:ascii="仿宋" w:hAnsi="仿宋" w:eastAsia="仿宋" w:cs="仿宋"/>
          <w:sz w:val="32"/>
          <w:szCs w:val="32"/>
          <w:u w:val="single"/>
        </w:rPr>
        <w:t xml:space="preserve">                              </w:t>
      </w:r>
      <w:r>
        <w:rPr>
          <w:rFonts w:hint="eastAsia" w:ascii="仿宋" w:hAnsi="仿宋" w:eastAsia="仿宋" w:cs="仿宋"/>
          <w:sz w:val="32"/>
          <w:szCs w:val="32"/>
        </w:rPr>
        <w:t>组成监督组承担。</w:t>
      </w:r>
    </w:p>
    <w:p w14:paraId="7D3F0E3A">
      <w:pPr>
        <w:overflowPunct w:val="0"/>
        <w:ind w:firstLine="640" w:firstLineChars="200"/>
        <w:rPr>
          <w:rFonts w:hint="eastAsia" w:ascii="仿宋" w:hAnsi="仿宋" w:eastAsia="仿宋" w:cs="仿宋"/>
          <w:sz w:val="32"/>
          <w:szCs w:val="32"/>
        </w:rPr>
      </w:pPr>
      <w:r>
        <w:rPr>
          <w:rFonts w:hint="eastAsia" w:ascii="仿宋" w:hAnsi="仿宋" w:eastAsia="仿宋" w:cs="仿宋"/>
          <w:color w:val="000000" w:themeColor="text1"/>
          <w:sz w:val="32"/>
          <w:szCs w:val="32"/>
          <w14:textFill>
            <w14:solidFill>
              <w14:schemeClr w14:val="tx1"/>
            </w14:solidFill>
          </w14:textFill>
        </w:rPr>
        <w:t>监督组采用抽查、抽测现场实物，查阅施工合同、施工图纸、施工安全管理及安全技术资料，询问现场有关人员，聘请第三方机构检测等方式开展监督工作。</w:t>
      </w:r>
    </w:p>
    <w:p w14:paraId="7711BD61">
      <w:pPr>
        <w:overflowPunct w:val="0"/>
        <w:ind w:firstLine="640" w:firstLineChars="200"/>
        <w:rPr>
          <w:rFonts w:hint="eastAsia" w:ascii="仿宋" w:hAnsi="仿宋" w:eastAsia="仿宋" w:cs="仿宋"/>
          <w:color w:val="FF0000"/>
          <w:sz w:val="32"/>
          <w:szCs w:val="32"/>
        </w:rPr>
      </w:pPr>
      <w:r>
        <w:rPr>
          <w:rFonts w:hint="eastAsia" w:ascii="仿宋" w:hAnsi="仿宋" w:eastAsia="仿宋" w:cs="仿宋"/>
          <w:color w:val="000000" w:themeColor="text1"/>
          <w:sz w:val="32"/>
          <w:szCs w:val="32"/>
          <w14:textFill>
            <w14:solidFill>
              <w14:schemeClr w14:val="tx1"/>
            </w14:solidFill>
          </w14:textFill>
        </w:rPr>
        <w:t>监督组依据法律法规和工程建设强制性标准及</w:t>
      </w:r>
      <w:bookmarkStart w:id="0" w:name="OLE_LINK10"/>
      <w:r>
        <w:rPr>
          <w:rFonts w:hint="eastAsia" w:ascii="仿宋" w:hAnsi="仿宋" w:eastAsia="仿宋" w:cs="仿宋"/>
          <w:color w:val="000000" w:themeColor="text1"/>
          <w:sz w:val="32"/>
          <w:szCs w:val="32"/>
          <w14:textFill>
            <w14:solidFill>
              <w14:schemeClr w14:val="tx1"/>
            </w14:solidFill>
          </w14:textFill>
        </w:rPr>
        <w:t>《关于进一步提升建筑工程质量安全监督规范化工作水平的通知》</w:t>
      </w:r>
      <w:bookmarkEnd w:id="0"/>
      <w:r>
        <w:rPr>
          <w:rFonts w:hint="eastAsia" w:ascii="仿宋" w:hAnsi="仿宋" w:eastAsia="仿宋" w:cs="仿宋"/>
          <w:color w:val="000000" w:themeColor="text1"/>
          <w:sz w:val="32"/>
          <w:szCs w:val="32"/>
          <w14:textFill>
            <w14:solidFill>
              <w14:schemeClr w14:val="tx1"/>
            </w14:solidFill>
          </w14:textFill>
        </w:rPr>
        <w:t xml:space="preserve">要求，对工程建设责任主体的安全生产行为、施工现场的安全生产状况和安全生产标准化建设情况，开展监督抽查；并结合日常监督情况，依据《湖南省房屋市政工程建筑施工安全质量标准化考评实施细则》进行阶段性评查。如实记录监督抽查情况，在3个工作日内录入湖南省工程项目动态监管平台。  </w:t>
      </w:r>
    </w:p>
    <w:p w14:paraId="7E9B2B3E">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监督抽查按照《国务院办公厅关于严格规范涉企行政检查的意见》（国办发〔2024〕54号）及《关于严格规范涉企行政检查的实施方案》（湘政办发〔2025〕5号）的相关规定执行。</w:t>
      </w:r>
    </w:p>
    <w:p w14:paraId="21D6F737">
      <w:pPr>
        <w:overflowPunct w:val="0"/>
        <w:ind w:firstLine="643" w:firstLineChars="200"/>
        <w:rPr>
          <w:rFonts w:hint="eastAsia" w:ascii="仿宋" w:hAnsi="仿宋" w:eastAsia="仿宋" w:cs="仿宋"/>
          <w:sz w:val="32"/>
          <w:szCs w:val="32"/>
        </w:rPr>
      </w:pPr>
      <w:r>
        <w:rPr>
          <w:rFonts w:hint="eastAsia" w:ascii="楷体" w:hAnsi="楷体" w:eastAsia="楷体" w:cs="楷体"/>
          <w:b/>
          <w:bCs/>
          <w:sz w:val="32"/>
          <w:szCs w:val="32"/>
        </w:rPr>
        <w:t>四、监督工作程序</w:t>
      </w:r>
    </w:p>
    <w:p w14:paraId="4ED6BF0A">
      <w:pPr>
        <w:overflowPunct w:val="0"/>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686425" cy="3724910"/>
            <wp:effectExtent l="0" t="0" r="9525" b="8890"/>
            <wp:docPr id="2" name="图片 2" descr="supervision_flowchart.png~tplv-a9rns2rl98-image-face-cut:0:0:3000:1496:3000: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upervision_flowchart.png~tplv-a9rns2rl98-image-face-cut:0:0:3000:1496:3000:1496"/>
                    <pic:cNvPicPr>
                      <a:picLocks noChangeAspect="1"/>
                    </pic:cNvPicPr>
                  </pic:nvPicPr>
                  <pic:blipFill>
                    <a:blip r:embed="rId12"/>
                    <a:stretch>
                      <a:fillRect/>
                    </a:stretch>
                  </pic:blipFill>
                  <pic:spPr>
                    <a:xfrm>
                      <a:off x="0" y="0"/>
                      <a:ext cx="5686425" cy="3724910"/>
                    </a:xfrm>
                    <a:prstGeom prst="rect">
                      <a:avLst/>
                    </a:prstGeom>
                  </pic:spPr>
                </pic:pic>
              </a:graphicData>
            </a:graphic>
          </wp:inline>
        </w:drawing>
      </w:r>
    </w:p>
    <w:p w14:paraId="1F6BB61B">
      <w:pPr>
        <w:overflowPunct w:val="0"/>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五、安全监督重点内容</w:t>
      </w:r>
    </w:p>
    <w:p w14:paraId="0235EAA0">
      <w:pPr>
        <w:autoSpaceDE w:val="0"/>
        <w:autoSpaceDN w:val="0"/>
        <w:adjustRightInd w:val="0"/>
        <w:snapToGrid w:val="0"/>
        <w:spacing w:line="556" w:lineRule="exact"/>
        <w:ind w:firstLine="671" w:firstLineChars="200"/>
        <w:textAlignment w:val="baseline"/>
        <w:outlineLvl w:val="1"/>
        <w:rPr>
          <w:rFonts w:hint="eastAsia" w:ascii="楷体" w:hAnsi="楷体" w:eastAsia="楷体" w:cs="楷体"/>
          <w:b/>
          <w:bCs/>
          <w:sz w:val="32"/>
          <w:szCs w:val="32"/>
        </w:rPr>
      </w:pPr>
      <w:r>
        <w:rPr>
          <w:rFonts w:eastAsia="楷体"/>
          <w:b/>
          <w:bCs/>
          <w:spacing w:val="7"/>
          <w:sz w:val="32"/>
          <w:szCs w:val="32"/>
        </w:rPr>
        <w:t>（一）建设单位行为</w:t>
      </w:r>
    </w:p>
    <w:p w14:paraId="6976B42B">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核查项目和直接发包工程是否按照《湖南省房屋建筑和市政工程施工许可管理实施细则》（湘建质〔2025〕131号）、《关于加强房屋市政工程开工安全生产条件审查的通知》（湘建建〔2024〕124号）等有关规定，通过开工安全生产条件审查并取得施工许可证，严格履行基本建设程序，及时、足额支付安全生产措施费。</w:t>
      </w:r>
    </w:p>
    <w:p w14:paraId="09EAD0BC">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2.核查建设单位核查项目施工图（含消防设计）审查及重大设计变更重新审查情况，查验施工用图加盖审查机构专用章情况。</w:t>
      </w:r>
    </w:p>
    <w:p w14:paraId="10567120">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3.核查建设单位落实项目法人终身责任制情况，是否按要求组建项目管理机构、配备安全管理人员，是否定期组织安全生产检查，是否督促参建单位落实安全生产主体责任。</w:t>
      </w:r>
    </w:p>
    <w:p w14:paraId="5F3E8E46">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4.核查建设单位是否按规定支付危大工程施工技术措施费并监督合理投入使用，是否参加专项施工方案专家论证会，是否对发现的危大工程及高边坡工程施工安全隐患及时督促整改到位。抽查危大工程发生应急抢险后，建设单位是否及时组织勘察、设计、施工、监理等单位制定工程恢复方案，并对应急抢险工作进行后评估。</w:t>
      </w:r>
    </w:p>
    <w:p w14:paraId="7DE4EF5D">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5.核查建设单位是否按规定委托具有相应资质的单位对需要进行第三方监测的危大工程实施监测；发现监测成果异常时，是否及时组织相关单位采取处置措施。</w:t>
      </w:r>
    </w:p>
    <w:p w14:paraId="52BFBE1E">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6.抽查建设单位是否存在随意压缩合理施工工期、向施工单位提出降低工程质量安全标准等不合理要求。</w:t>
      </w:r>
    </w:p>
    <w:p w14:paraId="20ED5E24">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7.抽查发生突发险情或生产安全事故时，建设单位是否及时向有关部门报告，是否协调组织参建单位做好事故应急救援及处置工作，是否配合施工单位开展应急抢险。</w:t>
      </w:r>
    </w:p>
    <w:p w14:paraId="4D414B5E">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8.核查工程项目因故中止施工的，建设单位是否及时向监督机构申请办理中止施工安全监督手续；停止施工超过一年的，恢复施工前是否向施工许可发证机关报告并落实恢复施工安全生产条件。核查项目完工后，建设单位是否及时办理终止施工安全监督手续。</w:t>
      </w:r>
    </w:p>
    <w:p w14:paraId="5CF52924">
      <w:pPr>
        <w:overflowPunct w:val="0"/>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（二）监督勘察、设计单位的行为</w:t>
      </w:r>
    </w:p>
    <w:p w14:paraId="44383BAB">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1.抽查勘察单位根据地质情况和工程实际提出保护各类管 线、设施和周边建筑物、构筑物安全措施的情况。</w:t>
      </w:r>
    </w:p>
    <w:p w14:paraId="3C55F70C">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2.抽查设计单位在设计文件中注明施工重点部位、环节及提 出指导性意见的情况。对采用新材料、新结构、新工艺或特殊结构的建筑工程提出保障安全和预防事故措施的情况。</w:t>
      </w:r>
    </w:p>
    <w:p w14:paraId="48F35EBA">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3. 抽查勘察、设计单位是否按规定参与工程安全生产事故处理；发生应急抢险时，是否配合施工单位开展抢险工作。</w:t>
      </w:r>
    </w:p>
    <w:p w14:paraId="3B85D778">
      <w:pPr>
        <w:overflowPunct w:val="0"/>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（三）监理单位行为</w:t>
      </w:r>
    </w:p>
    <w:p w14:paraId="18A7DE87">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sz w:val="32"/>
          <w:szCs w:val="32"/>
        </w:rPr>
        <w:t>1.核查</w:t>
      </w:r>
      <w:r>
        <w:rPr>
          <w:rFonts w:hint="eastAsia" w:ascii="仿宋" w:hAnsi="仿宋" w:eastAsia="仿宋" w:cs="仿宋"/>
          <w:color w:val="000000" w:themeColor="text1"/>
          <w:sz w:val="32"/>
          <w:szCs w:val="32"/>
          <w14:textFill>
            <w14:solidFill>
              <w14:schemeClr w14:val="tx1"/>
            </w14:solidFill>
          </w14:textFill>
        </w:rPr>
        <w:t>监理单位现场监理部的组成及相关人员的资格、数量和专业满足项目 监理工作需要及相关规定的情况。核查现场监理部组成人员的变 更、撤离、补充按照流程执行的情况。核查总监理工程师以书面形式明确项目监理机构的安全监理工作及责任分工情况。</w:t>
      </w:r>
    </w:p>
    <w:p w14:paraId="7B10A2E7">
      <w:pPr>
        <w:overflowPunct w:val="0"/>
        <w:ind w:firstLine="640" w:firstLineChars="200"/>
        <w:rPr>
          <w:rFonts w:hint="eastAsia" w:ascii="仿宋" w:hAnsi="仿宋" w:eastAsia="仿宋" w:cs="仿宋"/>
          <w:sz w:val="32"/>
          <w:szCs w:val="32"/>
        </w:rPr>
      </w:pPr>
      <w:r>
        <w:rPr>
          <w:rFonts w:hint="eastAsia" w:ascii="仿宋" w:hAnsi="仿宋" w:eastAsia="仿宋" w:cs="仿宋"/>
          <w:color w:val="000000" w:themeColor="text1"/>
          <w:sz w:val="32"/>
          <w:szCs w:val="32"/>
          <w14:textFill>
            <w14:solidFill>
              <w14:schemeClr w14:val="tx1"/>
            </w14:solidFill>
          </w14:textFill>
        </w:rPr>
        <w:t>2. 抽查监理单位是否按规定完成监理规划、监理实施细则</w:t>
      </w:r>
      <w:bookmarkStart w:id="1" w:name="OLE_LINK11"/>
      <w:r>
        <w:rPr>
          <w:rFonts w:hint="eastAsia" w:ascii="仿宋" w:hAnsi="仿宋" w:eastAsia="仿宋" w:cs="仿宋"/>
          <w:color w:val="000000" w:themeColor="text1"/>
          <w:sz w:val="32"/>
          <w:szCs w:val="32"/>
          <w14:textFill>
            <w14:solidFill>
              <w14:schemeClr w14:val="tx1"/>
            </w14:solidFill>
          </w14:textFill>
        </w:rPr>
        <w:t>（含危大工程）</w:t>
      </w:r>
      <w:bookmarkEnd w:id="1"/>
      <w:r>
        <w:rPr>
          <w:rFonts w:hint="eastAsia" w:ascii="仿宋" w:hAnsi="仿宋" w:eastAsia="仿宋" w:cs="仿宋"/>
          <w:color w:val="000000" w:themeColor="text1"/>
          <w:sz w:val="32"/>
          <w:szCs w:val="32"/>
          <w14:textFill>
            <w14:solidFill>
              <w14:schemeClr w14:val="tx1"/>
            </w14:solidFill>
          </w14:textFill>
        </w:rPr>
        <w:t>和旁站监理方案（含危大工程）</w:t>
      </w:r>
      <w:r>
        <w:rPr>
          <w:rFonts w:hint="eastAsia" w:ascii="仿宋" w:hAnsi="仿宋" w:eastAsia="仿宋" w:cs="仿宋"/>
          <w:sz w:val="32"/>
          <w:szCs w:val="32"/>
        </w:rPr>
        <w:t>的编制、审批与执行，并在应急抢险时配合施工单位开展工作。</w:t>
      </w:r>
    </w:p>
    <w:p w14:paraId="48466B28">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3.抽查监理单位对施工组织设计、专项工程施工方案中的施工技术措施进行审查和对施工组织设计、专项工程施工方案的 落实和执行进行监理的情况。</w:t>
      </w:r>
    </w:p>
    <w:p w14:paraId="5089C575">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4.抽查监理单位对分包单位的管理情况，包括对分包单位的资质、安全生产许可证、人员资格证书进行审查，对安全技术资料进行检查，以及安全管理人员到岗、有效履职的情况。</w:t>
      </w:r>
    </w:p>
    <w:p w14:paraId="5068F0DF">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5.抽查监理单位对危大工程开工前的安全生产条件审查办理情况，以及实施过程中的旁站监理、巡查及监理日志记录情况。</w:t>
      </w:r>
    </w:p>
    <w:p w14:paraId="64ED6CE8">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6.</w:t>
      </w:r>
      <w:r>
        <w:rPr>
          <w:rFonts w:hint="eastAsia" w:ascii="仿宋" w:hAnsi="仿宋" w:eastAsia="仿宋" w:cs="仿宋"/>
          <w:sz w:val="32"/>
          <w:szCs w:val="32"/>
        </w:rPr>
        <w:t>抽</w:t>
      </w:r>
      <w:r>
        <w:rPr>
          <w:rFonts w:hint="eastAsia" w:ascii="仿宋" w:hAnsi="仿宋" w:eastAsia="仿宋" w:cs="仿宋"/>
          <w:color w:val="000000" w:themeColor="text1"/>
          <w:sz w:val="32"/>
          <w:szCs w:val="32"/>
          <w14:textFill>
            <w14:solidFill>
              <w14:schemeClr w14:val="tx1"/>
            </w14:solidFill>
          </w14:textFill>
        </w:rPr>
        <w:t>查监理单位对建筑施工特种作业人员的管理情况，包括是否依法参加专门安全作业培训并考核合格、取得建筑施工特种作业操作资格证书，是否采用人和“三证合一”方式进行审查，以及是否经项目部安全教育、安全技术交底、考核合格后上岗作业。</w:t>
      </w:r>
    </w:p>
    <w:p w14:paraId="0377EE94">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7.</w:t>
      </w:r>
      <w:r>
        <w:rPr>
          <w:rFonts w:hint="eastAsia" w:ascii="仿宋" w:hAnsi="仿宋" w:eastAsia="仿宋" w:cs="仿宋"/>
          <w:sz w:val="32"/>
          <w:szCs w:val="32"/>
        </w:rPr>
        <w:t>抽查现场监理部依据《房屋市政工程生产安全重大事故隐患判定标准》，对项目现场生产安全重大事故隐患进行排查，发现存在重大事故隐患的，督促整改到位，复查情况。</w:t>
      </w:r>
    </w:p>
    <w:p w14:paraId="2B0865A1">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8.</w:t>
      </w:r>
      <w:r>
        <w:rPr>
          <w:rFonts w:hint="eastAsia" w:ascii="仿宋" w:hAnsi="仿宋" w:eastAsia="仿宋" w:cs="仿宋"/>
          <w:sz w:val="32"/>
          <w:szCs w:val="32"/>
        </w:rPr>
        <w:t>抽</w:t>
      </w:r>
      <w:r>
        <w:rPr>
          <w:rFonts w:hint="eastAsia" w:ascii="仿宋" w:hAnsi="仿宋" w:eastAsia="仿宋" w:cs="仿宋"/>
          <w:color w:val="000000" w:themeColor="text1"/>
          <w:sz w:val="32"/>
          <w:szCs w:val="32"/>
          <w14:textFill>
            <w14:solidFill>
              <w14:schemeClr w14:val="tx1"/>
            </w14:solidFill>
          </w14:textFill>
        </w:rPr>
        <w:t>查监理部发现存在的安全隐患，是否签发监理通知单，责令限期整改；情况严重的，是否签发工程暂停令，并即时报告建设单位；施工单位拒不整改或不停止施工的，是否即时向工程质量安全监督机构报告。是否严格落实《湖南省建筑工程质量安全监理报告制度实施办法》相关要求。</w:t>
      </w:r>
    </w:p>
    <w:p w14:paraId="7C2F9E5D">
      <w:pPr>
        <w:overflowPunct w:val="0"/>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（四）施工单位行为</w:t>
      </w:r>
    </w:p>
    <w:p w14:paraId="49DB3D90">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1.核查施工单位资质、安全生产许可证有效性。依据《建筑施工企业、工程项目安全生产管理机构设置及安全生产管理人员配备办法》（建质规〔2025〕3号）规定，建设规模达到下列条件之一的项目应当配备项目安全总监：施工现场管理人员和施工人员峰值超过500人、房屋建筑工程施工面积大于10万平方米、市政基础设施工程合同价款大于4亿元或隧道、城市轨道交通工程施工累计长度超过4千米；专职安全生产管理人员（安全员）的配备标准为：建筑工程按建筑面积1万平方米以下不少于1人、1万至5万平方米不少于2人、5万平方米以上不少于3人且每增加5万平方米至少增加1人，市政基础设施工程按合同价款5000万元以下不少于1人、5000万至2亿元不少于2人、2亿元以上不少于3人且每增加2亿元至少增加1人，涉及建筑起重机械的还应至少增加1名机械类专职安全生产管理人员。项目经理部管理人员的资格、配备及到位和考勤情况。核查项目经理部管理人员的变更、撤离、补充按照流程执行的情况。</w:t>
      </w:r>
    </w:p>
    <w:p w14:paraId="7AD586D0">
      <w:pPr>
        <w:overflowPunct w:val="0"/>
        <w:ind w:firstLine="640" w:firstLineChars="200"/>
        <w:rPr>
          <w:rFonts w:hint="eastAsia" w:ascii="华文仿宋" w:hAnsi="华文仿宋" w:eastAsia="华文仿宋" w:cs="华文仿宋"/>
          <w:bCs/>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3.抽查项目安全生产管理体系建立情况，明确项目管理人员安全职责，落实安全生产管理制度，有效使用项目安全生产费用情况。项目负责人依据相关法律法规及规范性文件等要求履行工程安全责任情况。结合项目危大工程、重大危险源及现场实际，以书面形式明确安全工作责任分工情况。</w:t>
      </w:r>
      <w:r>
        <w:rPr>
          <w:rFonts w:hint="eastAsia" w:ascii="华文仿宋" w:hAnsi="华文仿宋" w:eastAsia="华文仿宋" w:cs="华文仿宋"/>
          <w:bCs/>
          <w:color w:val="000000" w:themeColor="text1"/>
          <w:sz w:val="32"/>
          <w:szCs w:val="32"/>
          <w14:textFill>
            <w14:solidFill>
              <w14:schemeClr w14:val="tx1"/>
            </w14:solidFill>
          </w14:textFill>
        </w:rPr>
        <w:t>抽查危大工程施工期间项目负责人是否在施工现场履职。</w:t>
      </w:r>
      <w:r>
        <w:rPr>
          <w:rFonts w:hint="eastAsia" w:ascii="仿宋" w:hAnsi="仿宋" w:eastAsia="仿宋" w:cs="仿宋"/>
          <w:color w:val="000000" w:themeColor="text1"/>
          <w:sz w:val="32"/>
          <w:szCs w:val="32"/>
          <w14:textFill>
            <w14:solidFill>
              <w14:schemeClr w14:val="tx1"/>
            </w14:solidFill>
          </w14:textFill>
        </w:rPr>
        <w:t>抽查项目安全总监协助项目经理履行安全生产管理职责，督促、检查项目安全生产工作，提出安全生产建议和意见；项目经理、项目安全总监均落实带班生产制度，每月带班生产时间不得少于本月施工时间的80%。</w:t>
      </w:r>
    </w:p>
    <w:p w14:paraId="6CA1E108">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4.核查施工单位按照经审查的施工图设计文件、经审批的施工组织设计、工程建设强制性标准及《工程质量安全手册（试行）》等组织施工情况。</w:t>
      </w:r>
    </w:p>
    <w:p w14:paraId="1942D955">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5.抽查项目技术负责人是否依据现行法律法规及规范标准，编制具有针对性、指导性和可操作性的专项施工方案，确保方案与现场实际相符；方案是否经企业技术负责人审核签字并加盖单位公章。</w:t>
      </w:r>
    </w:p>
    <w:p w14:paraId="34985B3C">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6.抽查项目专职安全生产管理人员是否在施工现场开展安全检查，现场监督危大工程专项施工方案实施。对检查中发现的安全事故隐患，是否立即处理；不能处理的，是否及时报告项目负责人和企业安全生产管理机构。检查及处理情况是否记入项目安全管理档案。同时，是否按照省厅示例要求规范填写《房屋市政工程安全日志》，确保填写及时、内容完整、真实有效。</w:t>
      </w:r>
    </w:p>
    <w:p w14:paraId="53F0DFF7">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7.抽查施工单位对分包单位的管理情况，包括是否对分包单位的资质、安全生产许可证、人员资格证书进行审查，签订安全协议、安全技术资料检查，以及安全管理人员到岗、有效履职的情况。</w:t>
      </w:r>
    </w:p>
    <w:p w14:paraId="5ACCF865">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8.抽查施工单位对建筑施工特种作业人员的管理情况，包括是否依法取得建筑施工特种作业操作资格证书，是否采用人和“三证合一”方式进行核查，对首次取得资格证书的建筑施工特种作业人员，用人单位安排不少于6个月的实习操作情况。</w:t>
      </w:r>
    </w:p>
    <w:p w14:paraId="04622997">
      <w:pPr>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9.抽</w:t>
      </w:r>
      <w:r>
        <w:rPr>
          <w:rFonts w:hint="eastAsia" w:ascii="华文仿宋" w:hAnsi="华文仿宋" w:eastAsia="华文仿宋" w:cs="华文仿宋"/>
          <w:bCs/>
          <w:color w:val="000000" w:themeColor="text1"/>
          <w:sz w:val="32"/>
          <w:szCs w:val="32"/>
          <w14:textFill>
            <w14:solidFill>
              <w14:schemeClr w14:val="tx1"/>
            </w14:solidFill>
          </w14:textFill>
        </w:rPr>
        <w:t>查施工单位严格落实进场作业人员安全管理要求。重点核查作业人员是否经安全教育、安全技术交底及项目培训考核合格后进场作业；作业期间是否正确佩戴劳动保护用品；全面落实“一会三卡”制度。</w:t>
      </w:r>
    </w:p>
    <w:p w14:paraId="44E232BD">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10.抽查建筑工人实名制落实情况，主要包括农民工工资专用账户设立、农民工工资保证金缴存、建筑工人劳动合同签订、建筑工人实名制信息录入、专（兼）职劳资专管员配备、电子打卡考勤信息、按月发放工资等情况。</w:t>
      </w:r>
    </w:p>
    <w:p w14:paraId="34C14EEF">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11.抽查施工项目部制定项目安全生产措施费使用计划和按计划实际适时投入到位及使用台账的情况。</w:t>
      </w:r>
    </w:p>
    <w:p w14:paraId="76FDEB3B">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12.抽查施工项目部是否根据《房屋市政工程生产安全重大事故隐患判定标准》，对项目安全管理及施工现场存在的生产安全重大事故隐患进行全面排查，并确保整改落实到位。</w:t>
      </w:r>
    </w:p>
    <w:p w14:paraId="0636306C">
      <w:pPr>
        <w:overflowPunct w:val="0"/>
        <w:ind w:firstLine="640" w:firstLineChars="200"/>
        <w:rPr>
          <w:rFonts w:hint="eastAsia" w:ascii="华文仿宋" w:hAnsi="华文仿宋" w:eastAsia="华文仿宋" w:cs="华文仿宋"/>
          <w:bCs/>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13.抽查</w:t>
      </w:r>
      <w:r>
        <w:rPr>
          <w:rFonts w:hint="eastAsia" w:ascii="华文仿宋" w:hAnsi="华文仿宋" w:eastAsia="华文仿宋" w:cs="华文仿宋"/>
          <w:bCs/>
          <w:color w:val="000000" w:themeColor="text1"/>
          <w:sz w:val="32"/>
          <w:szCs w:val="32"/>
          <w14:textFill>
            <w14:solidFill>
              <w14:schemeClr w14:val="tx1"/>
            </w14:solidFill>
          </w14:textFill>
        </w:rPr>
        <w:t>依据《关于开展建筑起重机械备案证和房屋市政工程施工安全监督人员考核合格证书电子化工作的通知》（建办质〔2024〕43号）要求，严格落实建筑起重机械备案、使用登记电子证照制度情况。</w:t>
      </w:r>
    </w:p>
    <w:p w14:paraId="67EC479E">
      <w:pPr>
        <w:ind w:firstLine="640" w:firstLineChars="200"/>
        <w:rPr>
          <w:rFonts w:hint="eastAsia" w:ascii="华文仿宋" w:hAnsi="华文仿宋" w:eastAsia="华文仿宋" w:cs="华文仿宋"/>
          <w:bCs/>
          <w:color w:val="000000" w:themeColor="text1"/>
          <w:sz w:val="32"/>
          <w:szCs w:val="32"/>
          <w14:textFill>
            <w14:solidFill>
              <w14:schemeClr w14:val="tx1"/>
            </w14:solidFill>
          </w14:textFill>
        </w:rPr>
      </w:pPr>
      <w:r>
        <w:rPr>
          <w:rFonts w:hint="eastAsia" w:ascii="华文仿宋" w:hAnsi="华文仿宋" w:eastAsia="华文仿宋" w:cs="华文仿宋"/>
          <w:bCs/>
          <w:color w:val="000000" w:themeColor="text1"/>
          <w:sz w:val="32"/>
          <w:szCs w:val="32"/>
          <w14:textFill>
            <w14:solidFill>
              <w14:schemeClr w14:val="tx1"/>
            </w14:solidFill>
          </w14:textFill>
        </w:rPr>
        <w:t>14.</w:t>
      </w:r>
      <w:r>
        <w:rPr>
          <w:rFonts w:hint="eastAsia" w:ascii="仿宋" w:hAnsi="仿宋" w:eastAsia="仿宋" w:cs="仿宋"/>
          <w:color w:val="000000" w:themeColor="text1"/>
          <w:sz w:val="32"/>
          <w:szCs w:val="32"/>
          <w14:textFill>
            <w14:solidFill>
              <w14:schemeClr w14:val="tx1"/>
            </w14:solidFill>
          </w14:textFill>
        </w:rPr>
        <w:t>抽</w:t>
      </w:r>
      <w:r>
        <w:rPr>
          <w:rFonts w:hint="eastAsia" w:ascii="华文仿宋" w:hAnsi="华文仿宋" w:eastAsia="华文仿宋" w:cs="华文仿宋"/>
          <w:bCs/>
          <w:color w:val="000000" w:themeColor="text1"/>
          <w:sz w:val="32"/>
          <w:szCs w:val="32"/>
          <w14:textFill>
            <w14:solidFill>
              <w14:schemeClr w14:val="tx1"/>
            </w14:solidFill>
          </w14:textFill>
        </w:rPr>
        <w:t>查项目部对进场的施工机具、钢管扣件、安全防护和劳动保护用品等检查验收情况。</w:t>
      </w:r>
    </w:p>
    <w:p w14:paraId="6E8474ED">
      <w:pPr>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15.抽查施工企业根据季节特点、气候变化和安全生产形势组织项目重大危险源控制专项检查的情况。监督人员将</w:t>
      </w:r>
      <w:r>
        <w:rPr>
          <w:rFonts w:hint="eastAsia" w:ascii="华文仿宋" w:hAnsi="华文仿宋" w:eastAsia="华文仿宋" w:cs="华文仿宋"/>
          <w:color w:val="000000" w:themeColor="text1"/>
          <w:sz w:val="32"/>
          <w:szCs w:val="32"/>
          <w14:textFill>
            <w14:solidFill>
              <w14:schemeClr w14:val="tx1"/>
            </w14:solidFill>
          </w14:textFill>
        </w:rPr>
        <w:t>依据省质安监总站《关于持续推进建筑起重机械常态化治理工作的提示函》《关于进一步加强房屋市政工程安全监督工作的提示函》《关于加强湖南省房屋市政工程建筑施工消防防火和动火作业安全监督的提示函》《关于加强房屋市政工程超规模危大工程专项施工方案专家论证活动监督的提示函》《关于持续推进建筑施工预防高处坠落常态化治理工作的提示函》等要求对治理情况进行核查。</w:t>
      </w:r>
    </w:p>
    <w:p w14:paraId="6A86A3F4">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16.抽查施工单位安全技术资料的收集、整理情况，资料应按要求分类归档，及时收集整理，确保内容真实、完整、有效。</w:t>
      </w:r>
    </w:p>
    <w:p w14:paraId="4A4CAB38">
      <w:pPr>
        <w:ind w:firstLine="640" w:firstLineChars="200"/>
        <w:rPr>
          <w:rFonts w:hint="eastAsia" w:ascii="华文仿宋" w:hAnsi="华文仿宋" w:eastAsia="华文仿宋" w:cs="华文仿宋"/>
          <w:bCs/>
          <w:color w:val="000000" w:themeColor="text1"/>
          <w:sz w:val="32"/>
          <w:szCs w:val="32"/>
          <w14:textFill>
            <w14:solidFill>
              <w14:schemeClr w14:val="tx1"/>
            </w14:solidFill>
          </w14:textFill>
        </w:rPr>
      </w:pPr>
      <w:r>
        <w:rPr>
          <w:rFonts w:hint="eastAsia" w:ascii="华文仿宋" w:hAnsi="华文仿宋" w:eastAsia="华文仿宋" w:cs="华文仿宋"/>
          <w:bCs/>
          <w:color w:val="000000" w:themeColor="text1"/>
          <w:sz w:val="32"/>
          <w:szCs w:val="32"/>
          <w14:textFill>
            <w14:solidFill>
              <w14:schemeClr w14:val="tx1"/>
            </w14:solidFill>
          </w14:textFill>
        </w:rPr>
        <w:t>17.</w:t>
      </w:r>
      <w:r>
        <w:rPr>
          <w:rFonts w:hint="eastAsia" w:ascii="仿宋" w:hAnsi="仿宋" w:eastAsia="仿宋" w:cs="仿宋"/>
          <w:color w:val="000000" w:themeColor="text1"/>
          <w:sz w:val="32"/>
          <w:szCs w:val="32"/>
          <w14:textFill>
            <w14:solidFill>
              <w14:schemeClr w14:val="tx1"/>
            </w14:solidFill>
          </w14:textFill>
        </w:rPr>
        <w:t>抽</w:t>
      </w:r>
      <w:r>
        <w:rPr>
          <w:rFonts w:hint="eastAsia" w:ascii="华文仿宋" w:hAnsi="华文仿宋" w:eastAsia="华文仿宋" w:cs="华文仿宋"/>
          <w:bCs/>
          <w:color w:val="000000" w:themeColor="text1"/>
          <w:sz w:val="32"/>
          <w:szCs w:val="32"/>
          <w14:textFill>
            <w14:solidFill>
              <w14:schemeClr w14:val="tx1"/>
            </w14:solidFill>
          </w14:textFill>
        </w:rPr>
        <w:t>查危大工程发生险情或者事故时，施工单位是否立即采取应急处置措施，并报告工程所在地住房城乡建设主管部门。</w:t>
      </w:r>
    </w:p>
    <w:p w14:paraId="7A516C8A">
      <w:pPr>
        <w:overflowPunct w:val="0"/>
        <w:ind w:firstLine="643" w:firstLineChars="200"/>
        <w:rPr>
          <w:rFonts w:hint="eastAsia" w:ascii="仿宋" w:hAnsi="仿宋" w:eastAsia="仿宋" w:cs="仿宋"/>
          <w:b/>
          <w:bCs/>
          <w:color w:val="000000" w:themeColor="text1"/>
          <w:sz w:val="32"/>
          <w:szCs w:val="32"/>
          <w14:textFill>
            <w14:solidFill>
              <w14:schemeClr w14:val="tx1"/>
            </w14:solidFill>
          </w14:textFill>
        </w:rPr>
      </w:pPr>
      <w:r>
        <w:rPr>
          <w:rFonts w:hint="eastAsia" w:ascii="仿宋" w:hAnsi="仿宋" w:eastAsia="仿宋" w:cs="仿宋"/>
          <w:b/>
          <w:bCs/>
          <w:color w:val="000000" w:themeColor="text1"/>
          <w:sz w:val="32"/>
          <w:szCs w:val="32"/>
          <w14:textFill>
            <w14:solidFill>
              <w14:schemeClr w14:val="tx1"/>
            </w14:solidFill>
          </w14:textFill>
        </w:rPr>
        <w:t>（五）建筑起重机械检测、深基坑、高边坡等第三方监测的行为</w:t>
      </w:r>
    </w:p>
    <w:p w14:paraId="20BDEB3D">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1.核查建筑起重机械检测单位资质和人员资格证的有效性，检测过程中发现存在问题或安全隐患，是否及时书面告知委托单位，并报告工程安全生产监督机构。</w:t>
      </w:r>
    </w:p>
    <w:p w14:paraId="30F63570">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2.抽查对于按照规定需要进行第三方监测的危大工程，监测单位是否编制监测方案，经监测单位技术负责人审核签字并加盖单位公章，报送监理单位。监测单位是否按照监测方案开展监测，及时向建设单位报送监测成果，并对监测成果负责；发现异常时，及时向建设、设计、施工、监理单位报告情况。</w:t>
      </w:r>
    </w:p>
    <w:p w14:paraId="706CDEF4">
      <w:pPr>
        <w:overflowPunct w:val="0"/>
        <w:ind w:firstLine="643" w:firstLineChars="200"/>
        <w:rPr>
          <w:rFonts w:hint="eastAsia" w:ascii="仿宋" w:hAnsi="仿宋" w:eastAsia="仿宋" w:cs="仿宋"/>
          <w:b/>
          <w:bCs/>
          <w:color w:val="000000" w:themeColor="text1"/>
          <w:sz w:val="32"/>
          <w:szCs w:val="32"/>
          <w14:textFill>
            <w14:solidFill>
              <w14:schemeClr w14:val="tx1"/>
            </w14:solidFill>
          </w14:textFill>
        </w:rPr>
      </w:pPr>
      <w:r>
        <w:rPr>
          <w:rFonts w:hint="eastAsia" w:ascii="仿宋" w:hAnsi="仿宋" w:eastAsia="仿宋" w:cs="仿宋"/>
          <w:b/>
          <w:bCs/>
          <w:color w:val="000000" w:themeColor="text1"/>
          <w:sz w:val="32"/>
          <w:szCs w:val="32"/>
          <w14:textFill>
            <w14:solidFill>
              <w14:schemeClr w14:val="tx1"/>
            </w14:solidFill>
          </w14:textFill>
        </w:rPr>
        <w:t>（六）工程实体安全</w:t>
      </w:r>
    </w:p>
    <w:p w14:paraId="1BB22B9B">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文明施工、人工挖孔桩、基坑支护工程、高处作业、模板工程、脚手架、附着式升降脚手架、建筑起重机械、临时用电及小型机具、建筑工程施工现场消防、高处作业吊篮、有限空间作业、装配式吊装、悬臂施工挂篮工程、矿山法隧道施工工程、围堰工程、顶管工程安全监督交底及《房屋市政工程安全生产标准化指导图册》（详见附件）。</w:t>
      </w:r>
    </w:p>
    <w:p w14:paraId="1D3FA19E">
      <w:pPr>
        <w:pStyle w:val="2"/>
        <w:numPr>
          <w:ilvl w:val="0"/>
          <w:numId w:val="1"/>
        </w:numPr>
        <w:overflowPunct w:val="0"/>
        <w:ind w:firstLine="643" w:firstLineChars="200"/>
        <w:jc w:val="both"/>
        <w:rPr>
          <w:rFonts w:hint="eastAsia" w:ascii="仿宋" w:hAnsi="仿宋" w:eastAsia="仿宋"/>
          <w:b/>
          <w:color w:val="000000" w:themeColor="text1"/>
          <w:sz w:val="32"/>
          <w:szCs w:val="32"/>
          <w14:textFill>
            <w14:solidFill>
              <w14:schemeClr w14:val="tx1"/>
            </w14:solidFill>
          </w14:textFill>
        </w:rPr>
      </w:pPr>
      <w:r>
        <w:rPr>
          <w:rFonts w:hint="eastAsia" w:ascii="仿宋" w:hAnsi="仿宋" w:eastAsia="仿宋"/>
          <w:b/>
          <w:color w:val="000000" w:themeColor="text1"/>
          <w:sz w:val="32"/>
          <w:szCs w:val="32"/>
          <w14:textFill>
            <w14:solidFill>
              <w14:schemeClr w14:val="tx1"/>
            </w14:solidFill>
          </w14:textFill>
        </w:rPr>
        <w:t>危大工程及高边坡安全管控</w:t>
      </w:r>
    </w:p>
    <w:p w14:paraId="2D27E8BE">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工程项目危大工程和高边坡作为重点抽查内容，针对项目存在的超规模危大工程，实施“一录入”“六到场”安全监督，即图纸会审到场、开工安全条件审查到场、专家论证到场、首层首段到场、关键节点到场、分部分项验收到场安全监督，相应环节应提前告知监督组。</w:t>
      </w:r>
    </w:p>
    <w:p w14:paraId="6F18794B">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1.核查危大工程及高边坡识别情况，在施工现场显著位置公告危大工程名称、施工时间和具体责任人员，并在危险区域设置安全警示标志。</w:t>
      </w:r>
    </w:p>
    <w:p w14:paraId="18F21BE6">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2.核查危大工程施工前，施工单位是否组织工程技术人员编制专项施工方案，并履行编制、审核、审批程序。专项施工方案是否依据《危险性较大的分部分项工程专项施工方案编制指南》等相关要求进行编制，是否存在《危险性较大的分部分项工程专项施工方案严重缺陷清单（试行）》所列情形。</w:t>
      </w:r>
    </w:p>
    <w:p w14:paraId="1B24FE87">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3.核查超过一定规模的危大工程专项施工方案是否组织专家论证。专家论证前，专项施工方案是否通过施工单位审核和总监理工程师审查，并按《湖南省建筑施工安全专家库及专家管理办法》的相关规定，采取线上方式，从湖南省建设工程安全专家管理系统中抽取专家。专家论证的参会人员、论证内容、方案修改等是否符合《住房城乡建设部办公厅关于实施〈危险性较大的分部分项工程安全管理规定〉有关问题的通知》的要求，论证时是否组织专家查看现场。专家论证会后，是否形成论证报告情况。</w:t>
      </w:r>
    </w:p>
    <w:p w14:paraId="75454ED1">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4.核查危大工程方案交底等工作，是否形成书面记录及影像资料，并存档备查。</w:t>
      </w:r>
    </w:p>
    <w:p w14:paraId="7EED9697">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5.核查危大工程施工前，按照《湖南省建筑工程开工安全生产条件审查制度》要求，通过危大工程开工安全生产条件审查情况。</w:t>
      </w:r>
    </w:p>
    <w:p w14:paraId="7BB729FE">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6.核查按照规定需要验收的危大工程，是否经验收合格后进入下一道工序，并在施工现场明显位置设置验收标识牌，是否形成书面记录及影像资料存档备查。</w:t>
      </w:r>
    </w:p>
    <w:p w14:paraId="3CD30151">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7.超规模危大工程施工期间，项目经理是否在施工现场履职，施工企业主要负责人是否在施工现场进行带班检查。</w:t>
      </w:r>
    </w:p>
    <w:p w14:paraId="05E646A3">
      <w:pPr>
        <w:pStyle w:val="2"/>
        <w:overflowPunct w:val="0"/>
        <w:ind w:firstLine="643" w:firstLineChars="200"/>
        <w:jc w:val="both"/>
        <w:rPr>
          <w:rFonts w:hint="eastAsia" w:ascii="仿宋" w:hAnsi="仿宋" w:eastAsia="仿宋"/>
          <w:b/>
          <w:color w:val="000000" w:themeColor="text1"/>
          <w:sz w:val="32"/>
          <w:szCs w:val="32"/>
          <w14:textFill>
            <w14:solidFill>
              <w14:schemeClr w14:val="tx1"/>
            </w14:solidFill>
          </w14:textFill>
        </w:rPr>
      </w:pPr>
      <w:r>
        <w:rPr>
          <w:rFonts w:hint="eastAsia" w:ascii="仿宋" w:hAnsi="仿宋" w:eastAsia="仿宋"/>
          <w:b/>
          <w:color w:val="000000" w:themeColor="text1"/>
          <w:sz w:val="32"/>
          <w:szCs w:val="32"/>
          <w14:textFill>
            <w14:solidFill>
              <w14:schemeClr w14:val="tx1"/>
            </w14:solidFill>
          </w14:textFill>
        </w:rPr>
        <w:t>（八）建筑施工安全质量标准化考评</w:t>
      </w:r>
    </w:p>
    <w:p w14:paraId="6E309641">
      <w:pPr>
        <w:pStyle w:val="12"/>
        <w:widowControl w:val="0"/>
        <w:spacing w:before="0" w:beforeAutospacing="0" w:after="0" w:afterAutospacing="0"/>
        <w:ind w:firstLine="640" w:firstLineChars="200"/>
        <w:jc w:val="both"/>
        <w:rPr>
          <w:rFonts w:hint="eastAsia" w:ascii="华文仿宋" w:hAnsi="华文仿宋" w:eastAsia="华文仿宋" w:cs="华文仿宋"/>
          <w:bCs/>
          <w:color w:val="000000" w:themeColor="text1"/>
          <w:kern w:val="2"/>
          <w:sz w:val="32"/>
          <w:szCs w:val="32"/>
          <w14:textFill>
            <w14:solidFill>
              <w14:schemeClr w14:val="tx1"/>
            </w14:solidFill>
          </w14:textFill>
        </w:rPr>
      </w:pPr>
      <w:r>
        <w:rPr>
          <w:rFonts w:hint="eastAsia" w:ascii="华文仿宋" w:hAnsi="华文仿宋" w:eastAsia="华文仿宋" w:cs="华文仿宋"/>
          <w:bCs/>
          <w:color w:val="000000" w:themeColor="text1"/>
          <w:kern w:val="2"/>
          <w:sz w:val="32"/>
          <w:szCs w:val="32"/>
          <w14:textFill>
            <w14:solidFill>
              <w14:schemeClr w14:val="tx1"/>
            </w14:solidFill>
          </w14:textFill>
        </w:rPr>
        <w:t>项目管理机构在开工前将项目划分不超过3个施工阶段并通过平台上报。项目管理机构对当月在省动态监管平台有“在建状态”的项目依托平台开展月度自评，并于25日前将汇总表上传平台；建筑施工企业每季度对当季所有在省动态监管平台有“在建状态”的项目开展安全质量标准化工作检查，季度末月25日前通过平台提交季度检查情况。项目考评主体结合建筑施工企业申请，组织开展项目阶段评查，在现场检查评分基础上对照评定标准，综合评定项目阶段评查结果为“优良”“合格”或“不合格”。阶段评查结果实行告知、认定程序，建筑施工企业对评查结果有异议的，可以通过平台提出申辩、申述，项目考评主体应及时复核反馈并将认定结果在平台审核提交。对于出现质量安全隐患多且拒不整改、连续两次日常监督存在重大隐患、被责令全面停工整改、被纳入差别化管理等任一情形的项目，由项目考评主体参照阶段评查现场检查模式开展“触发式评查”。项目完工后竣工验收前，建筑施工企业通过平台提交项目考评申请，项目考评主体结合建设规模、阶段评查及“触发式评查”结果、质量安全责任事故、日常监督等情况，对项目安全质量标准化进行评定，考评结果履行告知、认定程序，企业对结果有异议的可以提出申辩申诉。项目考评结果审核提交后将实时发布。</w:t>
      </w:r>
    </w:p>
    <w:p w14:paraId="590140E9">
      <w:pPr>
        <w:pStyle w:val="2"/>
        <w:overflowPunct w:val="0"/>
        <w:ind w:firstLine="672" w:firstLineChars="200"/>
        <w:jc w:val="both"/>
        <w:rPr>
          <w:rFonts w:hint="eastAsia" w:ascii="黑体" w:hAnsi="黑体" w:cs="黑体"/>
          <w:color w:val="000000" w:themeColor="text1"/>
          <w:szCs w:val="32"/>
          <w14:textFill>
            <w14:solidFill>
              <w14:schemeClr w14:val="tx1"/>
            </w14:solidFill>
          </w14:textFill>
        </w:rPr>
      </w:pPr>
      <w:r>
        <w:rPr>
          <w:rFonts w:hint="eastAsia" w:ascii="Times New Roman" w:hAnsi="Times New Roman" w:eastAsia="黑体" w:cs="Times New Roman"/>
          <w:color w:val="000000" w:themeColor="text1"/>
          <w:spacing w:val="8"/>
          <w:sz w:val="32"/>
          <w:szCs w:val="32"/>
          <w14:textFill>
            <w14:solidFill>
              <w14:schemeClr w14:val="tx1"/>
            </w14:solidFill>
          </w14:textFill>
        </w:rPr>
        <w:t>六、</w:t>
      </w:r>
      <w:r>
        <w:rPr>
          <w:rFonts w:ascii="Times New Roman" w:hAnsi="Times New Roman" w:eastAsia="黑体" w:cs="Times New Roman"/>
          <w:color w:val="000000" w:themeColor="text1"/>
          <w:spacing w:val="8"/>
          <w:sz w:val="32"/>
          <w:szCs w:val="32"/>
          <w14:textFill>
            <w14:solidFill>
              <w14:schemeClr w14:val="tx1"/>
            </w14:solidFill>
          </w14:textFill>
        </w:rPr>
        <w:t>采取的监督措施</w:t>
      </w:r>
    </w:p>
    <w:p w14:paraId="202409E1">
      <w:pPr>
        <w:ind w:firstLine="640" w:firstLineChars="200"/>
        <w:rPr>
          <w:rFonts w:hint="eastAsia" w:ascii="华文仿宋" w:hAnsi="华文仿宋" w:eastAsia="华文仿宋" w:cs="华文仿宋"/>
          <w:bCs/>
          <w:color w:val="000000" w:themeColor="text1"/>
          <w:sz w:val="32"/>
          <w:szCs w:val="32"/>
          <w14:textFill>
            <w14:solidFill>
              <w14:schemeClr w14:val="tx1"/>
            </w14:solidFill>
          </w14:textFill>
        </w:rPr>
      </w:pPr>
      <w:r>
        <w:rPr>
          <w:rFonts w:hint="eastAsia" w:ascii="华文仿宋" w:hAnsi="华文仿宋" w:eastAsia="华文仿宋" w:cs="华文仿宋"/>
          <w:bCs/>
          <w:color w:val="000000" w:themeColor="text1"/>
          <w:sz w:val="32"/>
          <w:szCs w:val="32"/>
          <w14:textFill>
            <w14:solidFill>
              <w14:schemeClr w14:val="tx1"/>
            </w14:solidFill>
          </w14:textFill>
        </w:rPr>
        <w:t>（一）抽查过程中发现工程项目施工现场存在安全生产隐患的，责令立即整改；无法立即整改的，下达《限期整改通知书》，责令限期整改；安全生产隐患排除前或排除过程中无法保证安全的，下达《停工整改通知书》，责令从危险区域内撤出作业人员。对抽查中发现的违反相关法律、法规规定的行为，依法移交有关部门处理。</w:t>
      </w:r>
    </w:p>
    <w:p w14:paraId="219BD169">
      <w:pPr>
        <w:ind w:firstLine="640" w:firstLineChars="200"/>
        <w:rPr>
          <w:rFonts w:hint="eastAsia" w:ascii="华文仿宋" w:hAnsi="华文仿宋" w:eastAsia="华文仿宋" w:cs="华文仿宋"/>
          <w:bCs/>
          <w:color w:val="000000" w:themeColor="text1"/>
          <w:sz w:val="32"/>
          <w:szCs w:val="32"/>
          <w14:textFill>
            <w14:solidFill>
              <w14:schemeClr w14:val="tx1"/>
            </w14:solidFill>
          </w14:textFill>
        </w:rPr>
      </w:pPr>
      <w:r>
        <w:rPr>
          <w:rFonts w:hint="eastAsia" w:ascii="华文仿宋" w:hAnsi="华文仿宋" w:eastAsia="华文仿宋" w:cs="华文仿宋"/>
          <w:bCs/>
          <w:color w:val="000000" w:themeColor="text1"/>
          <w:sz w:val="32"/>
          <w:szCs w:val="32"/>
          <w14:textFill>
            <w14:solidFill>
              <w14:schemeClr w14:val="tx1"/>
            </w14:solidFill>
          </w14:textFill>
        </w:rPr>
        <w:t>（二）被责令限期整改、停工整改的工程项目，施工单位应当在排除安全隐患后，由监理单位组织验收，验收合格后形成安全隐患整改报告，经建设、施工、监理单位项目负责人签字并加盖单位公章，提交监督机构。监督机构收到施工单位提交的安全隐患整改报告后进行查验，必要时进行现场抽查。经查验符合要求的，监督机构向停工整改的工程项目，发放《恢复施工通知书》。责令限期整改、停工整改的工程项目，逾期不整改的，监督机构应当移交有关部门处理。</w:t>
      </w:r>
    </w:p>
    <w:p w14:paraId="71BD665C">
      <w:pPr>
        <w:pStyle w:val="12"/>
        <w:widowControl w:val="0"/>
        <w:spacing w:before="0" w:beforeAutospacing="0" w:after="0" w:afterAutospacing="0"/>
        <w:ind w:firstLine="640" w:firstLineChars="200"/>
        <w:jc w:val="both"/>
        <w:rPr>
          <w:rFonts w:hint="eastAsia" w:ascii="华文仿宋" w:hAnsi="华文仿宋" w:eastAsia="华文仿宋" w:cs="华文仿宋"/>
          <w:b/>
          <w:color w:val="000000" w:themeColor="text1"/>
          <w:sz w:val="32"/>
          <w:szCs w:val="32"/>
          <w14:textFill>
            <w14:solidFill>
              <w14:schemeClr w14:val="tx1"/>
            </w14:solidFill>
          </w14:textFill>
        </w:rPr>
      </w:pPr>
      <w:r>
        <w:rPr>
          <w:rFonts w:hint="eastAsia" w:ascii="华文仿宋" w:hAnsi="华文仿宋" w:eastAsia="华文仿宋" w:cs="华文仿宋"/>
          <w:bCs/>
          <w:color w:val="000000" w:themeColor="text1"/>
          <w:sz w:val="32"/>
          <w:szCs w:val="32"/>
          <w14:textFill>
            <w14:solidFill>
              <w14:schemeClr w14:val="tx1"/>
            </w14:solidFill>
          </w14:textFill>
        </w:rPr>
        <w:t>（三）依据《湖南省房屋市政工程建筑施工安全质量标准化考评实施细则》文件，</w:t>
      </w:r>
      <w:r>
        <w:rPr>
          <w:rFonts w:ascii="Times New Roman" w:hAnsi="Times New Roman" w:eastAsia="仿宋" w:cs="Times New Roman"/>
          <w:color w:val="000000" w:themeColor="text1"/>
          <w:sz w:val="32"/>
          <w:szCs w:val="32"/>
          <w14:textFill>
            <w14:solidFill>
              <w14:schemeClr w14:val="tx1"/>
            </w14:solidFill>
          </w14:textFill>
        </w:rPr>
        <w:t>项目阶段评查结果具</w:t>
      </w:r>
      <w:r>
        <w:rPr>
          <w:rFonts w:hint="eastAsia" w:ascii="Times New Roman" w:hAnsi="Times New Roman" w:eastAsia="仿宋" w:cs="Times New Roman"/>
          <w:color w:val="000000" w:themeColor="text1"/>
          <w:sz w:val="32"/>
          <w:szCs w:val="32"/>
          <w14:textFill>
            <w14:solidFill>
              <w14:schemeClr w14:val="tx1"/>
            </w14:solidFill>
          </w14:textFill>
        </w:rPr>
        <w:t>有</w:t>
      </w:r>
      <w:r>
        <w:rPr>
          <w:rFonts w:ascii="Times New Roman" w:hAnsi="Times New Roman" w:eastAsia="仿宋" w:cs="Times New Roman"/>
          <w:color w:val="000000" w:themeColor="text1"/>
          <w:sz w:val="32"/>
          <w:szCs w:val="32"/>
          <w14:textFill>
            <w14:solidFill>
              <w14:schemeClr w14:val="tx1"/>
            </w14:solidFill>
          </w14:textFill>
        </w:rPr>
        <w:t>第十七条情形之一的为“不合格”</w:t>
      </w:r>
      <w:r>
        <w:rPr>
          <w:rFonts w:hint="eastAsia" w:ascii="Times New Roman" w:hAnsi="Times New Roman" w:eastAsia="仿宋" w:cs="Times New Roman"/>
          <w:color w:val="000000" w:themeColor="text1"/>
          <w:sz w:val="32"/>
          <w:szCs w:val="32"/>
          <w14:textFill>
            <w14:solidFill>
              <w14:schemeClr w14:val="tx1"/>
            </w14:solidFill>
          </w14:textFill>
        </w:rPr>
        <w:t>，</w:t>
      </w:r>
      <w:r>
        <w:rPr>
          <w:rFonts w:hint="eastAsia" w:ascii="华文仿宋" w:hAnsi="华文仿宋" w:eastAsia="华文仿宋" w:cs="华文仿宋"/>
          <w:bCs/>
          <w:color w:val="000000" w:themeColor="text1"/>
          <w:kern w:val="2"/>
          <w:sz w:val="32"/>
          <w:szCs w:val="32"/>
          <w14:textFill>
            <w14:solidFill>
              <w14:schemeClr w14:val="tx1"/>
            </w14:solidFill>
          </w14:textFill>
        </w:rPr>
        <w:t>项目考评“不合格”的，将启动安全生产条件复核和资质动态核查，项目负责人B证重新考核。</w:t>
      </w:r>
    </w:p>
    <w:p w14:paraId="0A0CC0A0">
      <w:pPr>
        <w:pStyle w:val="2"/>
        <w:overflowPunct w:val="0"/>
        <w:ind w:firstLine="672" w:firstLineChars="200"/>
        <w:jc w:val="both"/>
        <w:rPr>
          <w:rFonts w:ascii="Times New Roman" w:hAnsi="Times New Roman" w:eastAsia="黑体" w:cs="Times New Roman"/>
          <w:color w:val="000000" w:themeColor="text1"/>
          <w:spacing w:val="8"/>
          <w:sz w:val="32"/>
          <w:szCs w:val="32"/>
          <w14:textFill>
            <w14:solidFill>
              <w14:schemeClr w14:val="tx1"/>
            </w14:solidFill>
          </w14:textFill>
        </w:rPr>
      </w:pPr>
      <w:r>
        <w:rPr>
          <w:rFonts w:hint="eastAsia" w:ascii="Times New Roman" w:hAnsi="Times New Roman" w:eastAsia="黑体" w:cs="Times New Roman"/>
          <w:color w:val="000000" w:themeColor="text1"/>
          <w:spacing w:val="8"/>
          <w:sz w:val="32"/>
          <w:szCs w:val="32"/>
          <w14:textFill>
            <w14:solidFill>
              <w14:schemeClr w14:val="tx1"/>
            </w14:solidFill>
          </w14:textFill>
        </w:rPr>
        <w:t>七、其他要求</w:t>
      </w:r>
    </w:p>
    <w:p w14:paraId="26466E80">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 xml:space="preserve">（一）施工项目发生安全生产事故或突发事件后，现场有关人员应立即向本单位负责人报告；单位负责人接到报告后，应于1小时内向事故发生地县级以上人民政府应急管理部门和住房城乡建设主管部门以及监督机构报告。情况紧急时，事故现场有关人员可直接向上述部门报告。 </w:t>
      </w:r>
    </w:p>
    <w:p w14:paraId="7709FD10">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二）湖南省建设工程施工安全监督档案(2026版)由项目安全监督组负责填写（粘贴），同时也是项目安全管理的重要内容，相关单位须认真领会，及时按规定完成相关工作，在施工期间由施工单位项目技术（安全）负责人负责保管，存于项目部备查。</w:t>
      </w:r>
    </w:p>
    <w:p w14:paraId="553E437A">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三）建设工程质量安全监督机构工作人员将认真贯彻落实中央八项规定及其实施细则精神，严格遵守湖南省建设工程质量安全监督机构廉洁自律“十不准”公开承诺等各项要求，坚持依法履职、文明监督、廉洁高效。工作中要注重监督与服务并重，强化对企业的服务意识，诚恳接受服务对象的监督、意见和建议，确保建筑施工质量安全监督工作规范有序开展。</w:t>
      </w:r>
    </w:p>
    <w:p w14:paraId="50AF721E">
      <w:pPr>
        <w:rPr>
          <w:rFonts w:hint="eastAsia" w:ascii="华文仿宋" w:hAnsi="华文仿宋" w:eastAsia="华文仿宋" w:cs="华文仿宋"/>
          <w:b/>
          <w:color w:val="000000" w:themeColor="text1"/>
          <w:sz w:val="32"/>
          <w:szCs w:val="32"/>
          <w14:textFill>
            <w14:solidFill>
              <w14:schemeClr w14:val="tx1"/>
            </w14:solidFill>
          </w14:textFill>
        </w:rPr>
      </w:pPr>
    </w:p>
    <w:p w14:paraId="75B9B7B8">
      <w:pPr>
        <w:ind w:firstLine="640" w:firstLineChars="200"/>
        <w:rPr>
          <w:rFonts w:eastAsia="华文仿宋"/>
          <w:color w:val="000000" w:themeColor="text1"/>
          <w14:textFill>
            <w14:solidFill>
              <w14:schemeClr w14:val="tx1"/>
            </w14:solidFill>
          </w14:textFill>
        </w:rPr>
      </w:pPr>
      <w:r>
        <w:rPr>
          <w:rFonts w:hint="eastAsia" w:ascii="华文仿宋" w:hAnsi="华文仿宋" w:eastAsia="华文仿宋" w:cs="华文仿宋"/>
          <w:bCs/>
          <w:color w:val="000000" w:themeColor="text1"/>
          <w:sz w:val="32"/>
          <w:szCs w:val="32"/>
          <w14:textFill>
            <w14:solidFill>
              <w14:schemeClr w14:val="tx1"/>
            </w14:solidFill>
          </w14:textFill>
        </w:rPr>
        <w:t>本监督交底模板一式四份，建设、施工、监理单位及监督机构各执一份。各方应严格遵守相关要求，共同确保建筑施工安全。</w:t>
      </w:r>
    </w:p>
    <w:p w14:paraId="70CA1157">
      <w:pPr>
        <w:rPr>
          <w:rFonts w:hint="eastAsia" w:ascii="仿宋" w:hAnsi="仿宋" w:eastAsia="仿宋" w:cs="仿宋"/>
          <w:color w:val="000000" w:themeColor="text1"/>
          <w:sz w:val="32"/>
          <w:szCs w:val="32"/>
          <w14:textFill>
            <w14:solidFill>
              <w14:schemeClr w14:val="tx1"/>
            </w14:solidFill>
          </w14:textFill>
        </w:rPr>
      </w:pPr>
    </w:p>
    <w:p w14:paraId="13082E6B">
      <w:pPr>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交底单位：（公章）           监督交底时间：   年  月  日</w:t>
      </w:r>
    </w:p>
    <w:p w14:paraId="3BE9836E">
      <w:pPr>
        <w:rPr>
          <w:rFonts w:hint="eastAsia" w:ascii="仿宋" w:hAnsi="仿宋" w:eastAsia="仿宋" w:cs="仿宋"/>
          <w:color w:val="000000" w:themeColor="text1"/>
          <w:sz w:val="32"/>
          <w:szCs w:val="32"/>
          <w14:textFill>
            <w14:solidFill>
              <w14:schemeClr w14:val="tx1"/>
            </w14:solidFill>
          </w14:textFill>
        </w:rPr>
      </w:pPr>
    </w:p>
    <w:p w14:paraId="0863F485">
      <w:pPr>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监督交底人（签字）：</w:t>
      </w:r>
    </w:p>
    <w:p w14:paraId="7DA858D2">
      <w:pPr>
        <w:rPr>
          <w:rFonts w:hint="eastAsia" w:ascii="仿宋" w:hAnsi="仿宋" w:eastAsia="仿宋" w:cs="仿宋"/>
          <w:color w:val="000000" w:themeColor="text1"/>
          <w:sz w:val="32"/>
          <w:szCs w:val="32"/>
          <w14:textFill>
            <w14:solidFill>
              <w14:schemeClr w14:val="tx1"/>
            </w14:solidFill>
          </w14:textFill>
        </w:rPr>
      </w:pPr>
    </w:p>
    <w:p w14:paraId="3E646D92">
      <w:pPr>
        <w:spacing w:line="360" w:lineRule="auto"/>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建设单位项目负责人（签字）：</w:t>
      </w:r>
    </w:p>
    <w:p w14:paraId="2DCC487E">
      <w:pPr>
        <w:spacing w:line="360" w:lineRule="auto"/>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勘察单位项目负责人（签字）：</w:t>
      </w:r>
    </w:p>
    <w:p w14:paraId="1105C412">
      <w:pPr>
        <w:spacing w:line="360" w:lineRule="auto"/>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设计单位项目负责人（签字）：</w:t>
      </w:r>
    </w:p>
    <w:p w14:paraId="253FA628">
      <w:pPr>
        <w:spacing w:line="360" w:lineRule="auto"/>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监理单位项目总监理工程师（签字）：</w:t>
      </w:r>
    </w:p>
    <w:p w14:paraId="15D6082D">
      <w:pPr>
        <w:spacing w:line="360" w:lineRule="auto"/>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施工单位项目负责人（签字）：</w:t>
      </w:r>
    </w:p>
    <w:p w14:paraId="4F04704D">
      <w:pPr>
        <w:widowControl/>
        <w:jc w:val="left"/>
        <w:rPr>
          <w:rFonts w:hint="eastAsia" w:ascii="仿宋" w:hAnsi="仿宋" w:eastAsia="仿宋" w:cs="仿宋"/>
          <w:sz w:val="32"/>
          <w:szCs w:val="32"/>
        </w:rPr>
      </w:pPr>
      <w:r>
        <w:rPr>
          <w:rFonts w:hint="eastAsia" w:ascii="仿宋" w:hAnsi="仿宋" w:eastAsia="仿宋" w:cs="仿宋"/>
          <w:sz w:val="32"/>
          <w:szCs w:val="32"/>
        </w:rPr>
        <w:br w:type="page"/>
      </w:r>
    </w:p>
    <w:p w14:paraId="78551E86">
      <w:pPr>
        <w:spacing w:line="440" w:lineRule="exact"/>
        <w:rPr>
          <w:rFonts w:hint="eastAsia" w:ascii="方正小标宋简体" w:hAnsi="方正小标宋简体" w:eastAsia="方正小标宋简体" w:cs="仿宋"/>
          <w:bCs/>
          <w:sz w:val="36"/>
          <w:szCs w:val="36"/>
        </w:rPr>
      </w:pPr>
      <w:r>
        <w:rPr>
          <w:rFonts w:hint="eastAsia" w:ascii="黑体" w:hAnsi="黑体" w:eastAsia="黑体" w:cs="仿宋"/>
          <w:bCs/>
          <w:sz w:val="32"/>
          <w:szCs w:val="32"/>
        </w:rPr>
        <w:t>附件</w:t>
      </w:r>
    </w:p>
    <w:p w14:paraId="7480F1BD">
      <w:pPr>
        <w:pStyle w:val="2"/>
        <w:rPr>
          <w:rFonts w:hint="eastAsia"/>
        </w:rPr>
      </w:pPr>
      <w:r>
        <w:rPr>
          <w:rFonts w:hint="eastAsia"/>
        </w:rPr>
        <w:t>文明施工监督交底（章鹏）</w:t>
      </w:r>
    </w:p>
    <w:p w14:paraId="11C6D1A1">
      <w:pPr>
        <w:spacing w:line="52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一、主要</w:t>
      </w:r>
      <w:r>
        <w:rPr>
          <w:rFonts w:ascii="仿宋" w:hAnsi="仿宋" w:eastAsia="仿宋" w:cs="仿宋"/>
          <w:b/>
          <w:bCs/>
          <w:sz w:val="32"/>
          <w:szCs w:val="32"/>
        </w:rPr>
        <w:t>依据</w:t>
      </w:r>
    </w:p>
    <w:p w14:paraId="1364CB9B">
      <w:pPr>
        <w:spacing w:line="520" w:lineRule="exact"/>
        <w:ind w:firstLine="640" w:firstLineChars="200"/>
        <w:rPr>
          <w:rFonts w:hint="eastAsia" w:ascii="仿宋_GB2312" w:hAnsi="仿宋" w:eastAsia="仿宋_GB2312" w:cs="仿宋"/>
          <w:sz w:val="32"/>
          <w:szCs w:val="32"/>
        </w:rPr>
      </w:pPr>
      <w:r>
        <w:rPr>
          <w:rFonts w:hint="eastAsia" w:ascii="仿宋" w:hAnsi="仿宋" w:eastAsia="仿宋" w:cs="仿宋"/>
          <w:sz w:val="32"/>
          <w:szCs w:val="32"/>
        </w:rPr>
        <w:t>《建</w:t>
      </w:r>
      <w:r>
        <w:rPr>
          <w:rFonts w:hint="eastAsia" w:ascii="仿宋_GB2312" w:hAnsi="仿宋" w:eastAsia="仿宋_GB2312" w:cs="仿宋"/>
          <w:sz w:val="32"/>
          <w:szCs w:val="32"/>
        </w:rPr>
        <w:t>筑与市政施工现场安全卫生与职业健康通用规范》（GB55034—2022）《建筑施工安全检查标准》（JGJ59—2011）《市政工程施工安全检查标准》（CJJ/T275—2018）《建设工程施工现场消防安全技术规范》（GB/T50720—2011（2025修订）《建设工程施工现场环境与卫生标准》（JGJ146—2013）《施工现场临时建筑物技术规范》（JGJ/T188—2009）《关于进一步加强本省建筑工程安全防护文明施工措施费使用管理的通知》（湘建建〔2022〕227号）《湖南省住房城乡建设领域大气污染防治攻坚实施方案》（湘建建函〔2023〕43号）《湖南省城市建筑垃圾管理实施细则》（湘建建〔2024〕9号）《湖南省建筑工程绿色施工管理办法》（湘建建〔2021〕60号）</w:t>
      </w:r>
      <w:r>
        <w:rPr>
          <w:rFonts w:hint="eastAsia" w:ascii="仿宋_GB2312" w:eastAsia="仿宋_GB2312"/>
          <w:sz w:val="32"/>
          <w:szCs w:val="32"/>
        </w:rPr>
        <w:t>等相关规定</w:t>
      </w:r>
      <w:r>
        <w:rPr>
          <w:rFonts w:hint="eastAsia" w:ascii="仿宋_GB2312" w:hAnsi="仿宋" w:eastAsia="仿宋_GB2312" w:cs="仿宋"/>
          <w:sz w:val="32"/>
          <w:szCs w:val="32"/>
        </w:rPr>
        <w:t>。</w:t>
      </w:r>
    </w:p>
    <w:p w14:paraId="1CE3C30A">
      <w:pPr>
        <w:spacing w:line="52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二、管控重点</w:t>
      </w:r>
    </w:p>
    <w:p w14:paraId="68BE2648">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1.施工单位应</w:t>
      </w:r>
      <w:r>
        <w:rPr>
          <w:rFonts w:hint="eastAsia" w:eastAsia="仿宋_GB2312" w:cs="仿宋" w:asciiTheme="minorHAnsi" w:hAnsiTheme="minorHAnsi"/>
          <w:sz w:val="32"/>
          <w:szCs w:val="32"/>
        </w:rPr>
        <w:t>按计划</w:t>
      </w:r>
      <w:r>
        <w:rPr>
          <w:rFonts w:hint="eastAsia" w:ascii="仿宋_GB2312" w:hAnsi="仿宋" w:eastAsia="仿宋_GB2312" w:cs="仿宋"/>
          <w:sz w:val="32"/>
          <w:szCs w:val="32"/>
        </w:rPr>
        <w:t>使用已核定的安全文明施工措施费，确保安全文明施工费按需投入。</w:t>
      </w:r>
    </w:p>
    <w:p w14:paraId="61CF7537">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2.施工现场须实行封闭管理，建立并完善门卫值守制度，严格落实建筑工人实名制制度要求。</w:t>
      </w:r>
    </w:p>
    <w:p w14:paraId="6ED0AFBF">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3.施工现场的主要通道以及临街区域，应落实防坠物伤人的相关措施。</w:t>
      </w:r>
    </w:p>
    <w:p w14:paraId="56F31A63">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4.施工现场的围挡应坚固、整洁、美观，市区主要路段的围挡高度不得低于2.5m，一般路段的围挡高度不得低于1.8m；应采取装配式可循环利用的围挡。</w:t>
      </w:r>
    </w:p>
    <w:p w14:paraId="4748264D">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w:t>
      </w:r>
      <w:r>
        <w:rPr>
          <w:rFonts w:ascii="仿宋_GB2312" w:hAnsi="仿宋" w:eastAsia="仿宋_GB2312" w:cs="仿宋"/>
          <w:sz w:val="32"/>
          <w:szCs w:val="32"/>
        </w:rPr>
        <w:t>房屋市政工程全面落实施工扬尘防治“六个100%”措施，做到施工现场100%围挡、物料100%覆盖、土方开挖湿法作业100%</w:t>
      </w:r>
      <w:r>
        <w:rPr>
          <w:rFonts w:hint="eastAsia" w:ascii="仿宋_GB2312" w:hAnsi="仿宋" w:eastAsia="仿宋_GB2312" w:cs="仿宋"/>
          <w:sz w:val="32"/>
          <w:szCs w:val="32"/>
        </w:rPr>
        <w:t>、</w:t>
      </w:r>
      <w:r>
        <w:rPr>
          <w:rFonts w:ascii="仿宋_GB2312" w:hAnsi="仿宋" w:eastAsia="仿宋_GB2312" w:cs="仿宋"/>
          <w:sz w:val="32"/>
          <w:szCs w:val="32"/>
        </w:rPr>
        <w:t>工地路面100%硬化、出入车辆100%清洗、渣土车辆100%密闭运输。</w:t>
      </w:r>
    </w:p>
    <w:p w14:paraId="35F225C0">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6.施工现场必须设置“五牌一图”，包括工程概况牌、管理人员名单及监督电话牌、消防保卫牌、安全生产牌、文明施工牌及施工现场总平面图。</w:t>
      </w:r>
    </w:p>
    <w:p w14:paraId="259EFF0F">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7.主要通道处应设置宣传栏，并设置专门的吸烟区域，严禁随意吸烟。现场应配备车辆冲洗设施，严禁车辆带泥上路。</w:t>
      </w:r>
    </w:p>
    <w:p w14:paraId="5FABA0CA">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8.主要道路、材料堆放区、加工场地及外脚手架基础均须进行硬化处理，场地四周应设排水沟，确保无积水现象。材料堆放处应设置标识牌，清晰标注材料的规格、型号、状态等信息。空旷地带应根据实际情况进行绿化处理。施工现场须做到“工完场清、工完料清”。建筑物内及施工现场的建筑垃圾应分类收集、贮存，及时清理外运，严禁从高空或临边洞口向外抛撒，严禁在现场焚烧。若因特殊情况无法及时清运，应采取有效的覆盖措施，并定期洒水或喷淋降尘。</w:t>
      </w:r>
    </w:p>
    <w:p w14:paraId="56444404">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9.外脚手架所使用的钢管应进行除锈、油漆喷涂处理，其外围必须采用抗冲击性能和阻燃性能均符合规范标准的密目式安全网进行全封闭防护。</w:t>
      </w:r>
    </w:p>
    <w:p w14:paraId="13F2371B">
      <w:pPr>
        <w:spacing w:line="52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rPr>
        <w:t>10</w:t>
      </w:r>
      <w:r>
        <w:rPr>
          <w:rFonts w:hint="eastAsia" w:ascii="仿宋_GB2312" w:hAnsi="仿宋" w:eastAsia="仿宋_GB2312" w:cs="仿宋"/>
          <w:sz w:val="32"/>
          <w:szCs w:val="32"/>
          <w:lang w:eastAsia="zh"/>
        </w:rPr>
        <w:t>.施工现场临时建筑搭建前，应认真开展选址工作。临时建筑与架空明设的用电线路之间应保持安全距离，不得布置在高压走廊范围内、深基坑滑移面上，以及易发生滑坡、坍塌、泥石流、山洪等危险地段。严禁在在建工程内设置宿舍，家属及儿童不得居住在施工现场。</w:t>
      </w:r>
    </w:p>
    <w:p w14:paraId="4E38BEA1">
      <w:pPr>
        <w:spacing w:line="52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rPr>
        <w:t>11.</w:t>
      </w:r>
      <w:r>
        <w:rPr>
          <w:rFonts w:hint="eastAsia" w:ascii="仿宋_GB2312" w:hAnsi="仿宋" w:eastAsia="仿宋_GB2312" w:cs="仿宋"/>
          <w:sz w:val="32"/>
          <w:szCs w:val="32"/>
          <w:lang w:eastAsia="zh"/>
        </w:rPr>
        <w:t>临时建筑可选用砌体结构或活动板房。搭建完成后，应依据相关规范要求组织验收，验收合格后方可投入使用。办公区、生活区和施工作业区应分开设置；若办公区、生活区临近在建工程或位于塔吊等机械作业半径范围内，应编制并落实相应的防护措施。餐厅、会议室、档案室、资料室应设置在临时建筑的底层。</w:t>
      </w:r>
    </w:p>
    <w:p w14:paraId="71F60CB0">
      <w:pPr>
        <w:spacing w:line="52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lang w:eastAsia="zh"/>
        </w:rPr>
        <w:t>1</w:t>
      </w:r>
      <w:r>
        <w:rPr>
          <w:rFonts w:hint="eastAsia" w:ascii="仿宋_GB2312" w:hAnsi="仿宋" w:eastAsia="仿宋_GB2312" w:cs="仿宋"/>
          <w:sz w:val="32"/>
          <w:szCs w:val="32"/>
        </w:rPr>
        <w:t>2</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生活区内应设置供作业人员学习和娱乐的场所。</w:t>
      </w:r>
      <w:r>
        <w:rPr>
          <w:rFonts w:hint="eastAsia" w:ascii="仿宋_GB2312" w:hAnsi="仿宋" w:eastAsia="仿宋_GB2312" w:cs="仿宋"/>
          <w:sz w:val="32"/>
          <w:szCs w:val="32"/>
          <w:lang w:eastAsia="zh"/>
        </w:rPr>
        <w:t>职工食堂、宿舍及厕所均需保持干净整洁。食堂地面应铺设防滑地砖，若采用砖混结构，内外墙体均需进行抹灰处理，食堂内部应设置排水沟，以确保排水顺畅。应优先选用环保油、气、电等清洁燃料，降低对环境的污染。食堂必须持有《食品经营许可证》，炊事人员必须持《健康证》上岗。食堂的卫生环境应达到良好标准，且需配备必要的排风、消毒、灭鼠、防蚊蝇等设施。</w:t>
      </w:r>
    </w:p>
    <w:p w14:paraId="0751B2DA">
      <w:pPr>
        <w:spacing w:line="52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lang w:eastAsia="zh"/>
        </w:rPr>
        <w:t>1</w:t>
      </w:r>
      <w:r>
        <w:rPr>
          <w:rFonts w:hint="eastAsia" w:ascii="仿宋_GB2312" w:hAnsi="仿宋" w:eastAsia="仿宋_GB2312" w:cs="仿宋"/>
          <w:sz w:val="32"/>
          <w:szCs w:val="32"/>
        </w:rPr>
        <w:t>3</w:t>
      </w:r>
      <w:r>
        <w:rPr>
          <w:rFonts w:hint="eastAsia" w:ascii="仿宋_GB2312" w:hAnsi="仿宋" w:eastAsia="仿宋_GB2312" w:cs="仿宋"/>
          <w:sz w:val="32"/>
          <w:szCs w:val="32"/>
          <w:lang w:eastAsia="zh"/>
        </w:rPr>
        <w:t>.</w:t>
      </w:r>
      <w:r>
        <w:rPr>
          <w:rFonts w:ascii="仿宋_GB2312" w:hAnsi="仿宋" w:eastAsia="仿宋_GB2312" w:cs="仿宋"/>
          <w:sz w:val="32"/>
          <w:szCs w:val="32"/>
          <w:lang w:eastAsia="zh"/>
        </w:rPr>
        <w:t>宿舍应具备良好的通风条件和充足的照明，墙面需设置一定数量的插座</w:t>
      </w:r>
      <w:r>
        <w:rPr>
          <w:rFonts w:hint="eastAsia" w:ascii="仿宋_GB2312" w:hAnsi="仿宋" w:eastAsia="仿宋_GB2312" w:cs="仿宋"/>
          <w:sz w:val="32"/>
          <w:szCs w:val="32"/>
          <w:lang w:eastAsia="zh"/>
        </w:rPr>
        <w:t>或低压充电口</w:t>
      </w:r>
      <w:r>
        <w:rPr>
          <w:rFonts w:ascii="仿宋_GB2312" w:hAnsi="仿宋" w:eastAsia="仿宋_GB2312" w:cs="仿宋"/>
          <w:sz w:val="32"/>
          <w:szCs w:val="32"/>
          <w:lang w:eastAsia="zh"/>
        </w:rPr>
        <w:t>。宿舍内严禁私自拉接电线以及使用大功率电器。宿舍内住宿人员人均面积不得低于2.</w:t>
      </w:r>
      <w:r>
        <w:rPr>
          <w:rFonts w:hint="eastAsia" w:ascii="仿宋_GB2312" w:hAnsi="仿宋" w:eastAsia="仿宋_GB2312" w:cs="仿宋"/>
          <w:sz w:val="32"/>
          <w:szCs w:val="32"/>
        </w:rPr>
        <w:t>5m</w:t>
      </w:r>
      <w:r>
        <w:rPr>
          <w:rFonts w:hint="eastAsia" w:ascii="仿宋_GB2312" w:hAnsi="仿宋" w:eastAsia="仿宋_GB2312" w:cs="仿宋"/>
          <w:sz w:val="32"/>
          <w:szCs w:val="32"/>
          <w:vertAlign w:val="superscript"/>
        </w:rPr>
        <w:t>2</w:t>
      </w:r>
      <w:r>
        <w:rPr>
          <w:rFonts w:ascii="仿宋_GB2312" w:hAnsi="仿宋" w:eastAsia="仿宋_GB2312" w:cs="仿宋"/>
          <w:sz w:val="32"/>
          <w:szCs w:val="32"/>
          <w:lang w:eastAsia="zh"/>
        </w:rPr>
        <w:t>，且每间宿舍居住人数不得超过1</w:t>
      </w:r>
      <w:r>
        <w:rPr>
          <w:rFonts w:hint="eastAsia" w:ascii="仿宋_GB2312" w:hAnsi="仿宋" w:eastAsia="仿宋_GB2312" w:cs="仿宋"/>
          <w:sz w:val="32"/>
          <w:szCs w:val="32"/>
          <w:lang w:eastAsia="zh"/>
        </w:rPr>
        <w:t>0</w:t>
      </w:r>
      <w:r>
        <w:rPr>
          <w:rFonts w:ascii="仿宋_GB2312" w:hAnsi="仿宋" w:eastAsia="仿宋_GB2312" w:cs="仿宋"/>
          <w:sz w:val="32"/>
          <w:szCs w:val="32"/>
          <w:lang w:eastAsia="zh"/>
        </w:rPr>
        <w:t>人。床铺层数不得超过2层，严禁使用通铺</w:t>
      </w:r>
      <w:r>
        <w:rPr>
          <w:rFonts w:hint="eastAsia" w:ascii="仿宋_GB2312" w:hAnsi="仿宋" w:eastAsia="仿宋_GB2312" w:cs="仿宋"/>
          <w:sz w:val="32"/>
          <w:szCs w:val="32"/>
          <w:lang w:eastAsia="zh"/>
        </w:rPr>
        <w:t>，</w:t>
      </w:r>
      <w:r>
        <w:rPr>
          <w:rFonts w:ascii="仿宋_GB2312" w:hAnsi="仿宋" w:eastAsia="仿宋_GB2312" w:cs="仿宋"/>
          <w:sz w:val="32"/>
          <w:szCs w:val="32"/>
          <w:lang w:eastAsia="zh"/>
        </w:rPr>
        <w:t>并设置可开启式窗户。冬季应采取采暖措施以及预防一氧化碳中毒的措施，夏季应具备防暑降温和防蚊蝇的措施。宿舍内应设置生活用品专柜，个人物品需摆放整齐，保持卫生整洁。</w:t>
      </w:r>
    </w:p>
    <w:p w14:paraId="644712DC">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lang w:eastAsia="zh"/>
        </w:rPr>
        <w:t>1</w:t>
      </w:r>
      <w:r>
        <w:rPr>
          <w:rFonts w:hint="eastAsia" w:ascii="仿宋_GB2312" w:hAnsi="仿宋" w:eastAsia="仿宋_GB2312" w:cs="仿宋"/>
          <w:sz w:val="32"/>
          <w:szCs w:val="32"/>
        </w:rPr>
        <w:t>4</w:t>
      </w:r>
      <w:r>
        <w:rPr>
          <w:rFonts w:hint="eastAsia" w:ascii="仿宋_GB2312" w:hAnsi="仿宋" w:eastAsia="仿宋_GB2312" w:cs="仿宋"/>
          <w:sz w:val="32"/>
          <w:szCs w:val="32"/>
          <w:lang w:eastAsia="zh"/>
        </w:rPr>
        <w:t>.厕所与食堂的距离应在15米以上，厕所内的设施数量和布局符合规范要求且应设置单个蹲位</w:t>
      </w:r>
      <w:r>
        <w:rPr>
          <w:rFonts w:hint="eastAsia" w:ascii="仿宋_GB2312" w:hAnsi="仿宋" w:eastAsia="仿宋_GB2312" w:cs="仿宋"/>
          <w:sz w:val="32"/>
          <w:szCs w:val="32"/>
        </w:rPr>
        <w:t>，并保存卫生</w:t>
      </w:r>
      <w:r>
        <w:rPr>
          <w:rFonts w:hint="eastAsia" w:ascii="仿宋_GB2312" w:hAnsi="仿宋" w:eastAsia="仿宋_GB2312" w:cs="仿宋"/>
          <w:sz w:val="32"/>
          <w:szCs w:val="32"/>
          <w:lang w:eastAsia="zh"/>
        </w:rPr>
        <w:t>。</w:t>
      </w:r>
    </w:p>
    <w:p w14:paraId="15AB6E92">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15</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进行夜间施工，应保证充足的照明，施工前建设单位应</w:t>
      </w:r>
      <w:r>
        <w:rPr>
          <w:rFonts w:ascii="仿宋_GB2312" w:hAnsi="仿宋" w:eastAsia="仿宋_GB2312" w:cs="仿宋"/>
          <w:sz w:val="32"/>
          <w:szCs w:val="32"/>
        </w:rPr>
        <w:t>向</w:t>
      </w:r>
      <w:r>
        <w:rPr>
          <w:rFonts w:ascii="Courier New" w:hAnsi="Courier New" w:eastAsia="仿宋_GB2312" w:cs="Courier New"/>
          <w:sz w:val="32"/>
          <w:szCs w:val="32"/>
        </w:rPr>
        <w:t>‌</w:t>
      </w:r>
      <w:r>
        <w:rPr>
          <w:rFonts w:ascii="仿宋_GB2312" w:hAnsi="仿宋" w:eastAsia="仿宋_GB2312" w:cs="仿宋"/>
          <w:sz w:val="32"/>
          <w:szCs w:val="32"/>
        </w:rPr>
        <w:t>县级以上人民政府住房和城乡建设主管部门</w:t>
      </w:r>
      <w:r>
        <w:rPr>
          <w:rFonts w:ascii="Courier New" w:hAnsi="Courier New" w:eastAsia="仿宋_GB2312" w:cs="Courier New"/>
          <w:sz w:val="32"/>
          <w:szCs w:val="32"/>
        </w:rPr>
        <w:t>‌</w:t>
      </w:r>
      <w:r>
        <w:rPr>
          <w:rFonts w:hint="eastAsia" w:ascii="仿宋_GB2312" w:hAnsi="仿宋" w:eastAsia="仿宋_GB2312" w:cs="仿宋"/>
          <w:sz w:val="32"/>
          <w:szCs w:val="32"/>
        </w:rPr>
        <w:t>提出申请，经批准后方可进行夜间施工，确保施工不扰民。</w:t>
      </w:r>
    </w:p>
    <w:p w14:paraId="6CBD990C">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16.污水排放须符合当地环保要求，现场道路和材料堆放场地周边应设置排水沟。工程污水和试验室养护用水处理合格后，排入市政污水管道。施工现场厕所应设置化粪池、厨房应设置隔油池且定期清理。工地雨水、污水应分流排放。钻孔桩、顶管或盾构法作业应采用泥浆循环系统，不得外溢漫流。</w:t>
      </w:r>
    </w:p>
    <w:p w14:paraId="40A56289">
      <w:pPr>
        <w:spacing w:line="52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三、常</w:t>
      </w:r>
      <w:r>
        <w:rPr>
          <w:rFonts w:hint="eastAsia" w:ascii="仿宋" w:hAnsi="仿宋" w:eastAsia="仿宋" w:cs="仿宋"/>
          <w:b/>
          <w:bCs/>
          <w:sz w:val="32"/>
          <w:szCs w:val="32"/>
          <w:lang w:eastAsia="zh"/>
        </w:rPr>
        <w:t>见</w:t>
      </w:r>
      <w:r>
        <w:rPr>
          <w:rFonts w:hint="eastAsia" w:ascii="仿宋" w:hAnsi="仿宋" w:eastAsia="仿宋" w:cs="仿宋"/>
          <w:b/>
          <w:bCs/>
          <w:sz w:val="32"/>
          <w:szCs w:val="32"/>
        </w:rPr>
        <w:t>问题</w:t>
      </w:r>
    </w:p>
    <w:p w14:paraId="23C2014E">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1.施工现场未设置封闭围挡，或围挡高度未达规定要求，不稳</w:t>
      </w:r>
      <w:r>
        <w:rPr>
          <w:rFonts w:hint="eastAsia" w:ascii="仿宋" w:hAnsi="仿宋" w:eastAsia="仿宋" w:cs="仿宋"/>
          <w:sz w:val="32"/>
          <w:szCs w:val="32"/>
        </w:rPr>
        <w:t>固</w:t>
      </w:r>
      <w:r>
        <w:rPr>
          <w:rFonts w:hint="eastAsia" w:ascii="仿宋" w:hAnsi="仿宋" w:eastAsia="仿宋" w:cs="仿宋"/>
          <w:sz w:val="32"/>
          <w:szCs w:val="32"/>
          <w:lang w:eastAsia="zh"/>
        </w:rPr>
        <w:t>；扬尘防治</w:t>
      </w:r>
      <w:r>
        <w:rPr>
          <w:rFonts w:hint="eastAsia" w:ascii="仿宋" w:hAnsi="仿宋" w:eastAsia="仿宋" w:cs="仿宋"/>
          <w:sz w:val="32"/>
          <w:szCs w:val="32"/>
        </w:rPr>
        <w:t>措施</w:t>
      </w:r>
      <w:r>
        <w:rPr>
          <w:rFonts w:hint="eastAsia" w:ascii="仿宋" w:hAnsi="仿宋" w:eastAsia="仿宋" w:cs="仿宋"/>
          <w:sz w:val="32"/>
          <w:szCs w:val="32"/>
          <w:lang w:eastAsia="zh"/>
        </w:rPr>
        <w:t>未满足相关规定标准，扬尘污染严重。</w:t>
      </w:r>
    </w:p>
    <w:p w14:paraId="64B8D783">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2.施工现场工地出入口未配备车辆冲洗装置，导致车辆带泥上路。</w:t>
      </w:r>
    </w:p>
    <w:p w14:paraId="2230B60D">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3.施工现场主干道、主要加工场地等未进行硬化处理，道路不通畅，场地积水。</w:t>
      </w:r>
    </w:p>
    <w:p w14:paraId="41C4D50F">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4.材料堆放杂乱无序，建筑垃圾未及时清理，未落实工完场清、工完料清的要求，施工现场环境脏乱差。</w:t>
      </w:r>
    </w:p>
    <w:p w14:paraId="372E6D1A">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5.安全网不符合相关标准，不阻燃或破损严重；钢管未刷漆处理。</w:t>
      </w:r>
    </w:p>
    <w:p w14:paraId="0B1C5152">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6.在建工</w:t>
      </w:r>
      <w:r>
        <w:rPr>
          <w:rFonts w:hint="eastAsia" w:ascii="仿宋" w:hAnsi="仿宋" w:eastAsia="仿宋" w:cs="仿宋"/>
          <w:sz w:val="32"/>
          <w:szCs w:val="32"/>
        </w:rPr>
        <w:t>地内设置临时居住场所</w:t>
      </w:r>
      <w:r>
        <w:rPr>
          <w:rFonts w:hint="eastAsia" w:ascii="仿宋" w:hAnsi="仿宋" w:eastAsia="仿宋" w:cs="仿宋"/>
          <w:sz w:val="32"/>
          <w:szCs w:val="32"/>
          <w:lang w:eastAsia="zh"/>
        </w:rPr>
        <w:t>，未设置吸烟处，施工现场</w:t>
      </w:r>
      <w:r>
        <w:rPr>
          <w:rFonts w:hint="eastAsia" w:ascii="仿宋" w:hAnsi="仿宋" w:eastAsia="仿宋" w:cs="仿宋"/>
          <w:sz w:val="32"/>
          <w:szCs w:val="32"/>
        </w:rPr>
        <w:t>随意</w:t>
      </w:r>
      <w:r>
        <w:rPr>
          <w:rFonts w:hint="eastAsia" w:ascii="仿宋" w:hAnsi="仿宋" w:eastAsia="仿宋" w:cs="仿宋"/>
          <w:sz w:val="32"/>
          <w:szCs w:val="32"/>
          <w:lang w:eastAsia="zh"/>
        </w:rPr>
        <w:t>吸烟。</w:t>
      </w:r>
    </w:p>
    <w:p w14:paraId="58686638">
      <w:pPr>
        <w:spacing w:line="520" w:lineRule="exact"/>
        <w:ind w:firstLine="640" w:firstLineChars="200"/>
        <w:rPr>
          <w:rFonts w:ascii="仿宋" w:hAnsi="仿宋" w:eastAsia="仿宋" w:cs="仿宋"/>
          <w:sz w:val="32"/>
          <w:szCs w:val="32"/>
          <w:lang w:eastAsia="zh"/>
        </w:rPr>
      </w:pPr>
      <w:r>
        <w:rPr>
          <w:rFonts w:hint="eastAsia" w:ascii="仿宋" w:hAnsi="仿宋" w:eastAsia="仿宋" w:cs="仿宋"/>
          <w:sz w:val="32"/>
          <w:szCs w:val="32"/>
          <w:lang w:eastAsia="zh"/>
        </w:rPr>
        <w:t>7.食堂、厕所、宿舍卫生状况不佳。</w:t>
      </w:r>
    </w:p>
    <w:p w14:paraId="63BF4A75">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8.宿舍、食堂未经验收合格投入使用。</w:t>
      </w:r>
    </w:p>
    <w:p w14:paraId="6E5AB1AD">
      <w:pPr>
        <w:widowControl/>
        <w:jc w:val="left"/>
        <w:rPr>
          <w:rFonts w:hint="eastAsia" w:ascii="仿宋" w:hAnsi="仿宋" w:eastAsia="仿宋" w:cs="仿宋"/>
          <w:sz w:val="32"/>
          <w:szCs w:val="32"/>
          <w:lang w:eastAsia="zh"/>
        </w:rPr>
      </w:pPr>
      <w:r>
        <w:rPr>
          <w:rFonts w:hint="eastAsia" w:ascii="仿宋" w:hAnsi="仿宋" w:eastAsia="仿宋" w:cs="仿宋"/>
          <w:sz w:val="32"/>
          <w:szCs w:val="32"/>
          <w:lang w:eastAsia="zh"/>
        </w:rPr>
        <w:br w:type="page"/>
      </w:r>
    </w:p>
    <w:p w14:paraId="1833D04A">
      <w:pPr>
        <w:spacing w:line="520" w:lineRule="exact"/>
        <w:ind w:firstLine="643" w:firstLineChars="200"/>
        <w:rPr>
          <w:rFonts w:hint="eastAsia" w:ascii="仿宋" w:hAnsi="仿宋" w:eastAsia="仿宋" w:cs="仿宋"/>
          <w:b/>
          <w:bCs/>
          <w:sz w:val="32"/>
          <w:szCs w:val="32"/>
        </w:rPr>
      </w:pPr>
    </w:p>
    <w:p w14:paraId="38264B5C">
      <w:pPr>
        <w:pStyle w:val="2"/>
        <w:spacing w:after="120" w:afterLines="50"/>
        <w:rPr>
          <w:rFonts w:hint="eastAsia"/>
        </w:rPr>
      </w:pPr>
      <w:r>
        <w:rPr>
          <w:rFonts w:hint="eastAsia"/>
        </w:rPr>
        <w:t>人工挖孔桩安全监督交底（戴卓）</w:t>
      </w:r>
    </w:p>
    <w:p w14:paraId="3025DA2C"/>
    <w:p w14:paraId="372F83FB">
      <w:pPr>
        <w:numPr>
          <w:ilvl w:val="0"/>
          <w:numId w:val="2"/>
        </w:numPr>
        <w:spacing w:line="560" w:lineRule="exact"/>
        <w:ind w:firstLine="640" w:firstLineChars="200"/>
        <w:rPr>
          <w:rFonts w:hint="eastAsia" w:ascii="黑体" w:hAnsi="黑体" w:eastAsia="黑体" w:cs="仿宋"/>
          <w:sz w:val="32"/>
          <w:szCs w:val="32"/>
        </w:rPr>
      </w:pPr>
      <w:r>
        <w:rPr>
          <w:rFonts w:hint="eastAsia" w:ascii="黑体" w:hAnsi="黑体" w:eastAsia="黑体" w:cs="仿宋"/>
          <w:sz w:val="32"/>
          <w:szCs w:val="32"/>
        </w:rPr>
        <w:t>主要依据</w:t>
      </w:r>
    </w:p>
    <w:p w14:paraId="34E6FE4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lang w:eastAsia="zh"/>
        </w:rPr>
        <w:t>《危险性较大的分部分项工程安全管理规定》（住房城乡建设部令第37号</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关于实施</w:t>
      </w:r>
      <w:r>
        <w:rPr>
          <w:rFonts w:hint="eastAsia" w:ascii="仿宋_GB2312" w:hAnsi="仿宋" w:eastAsia="仿宋_GB2312" w:cs="仿宋"/>
          <w:sz w:val="32"/>
          <w:szCs w:val="32"/>
        </w:rPr>
        <w:t>&lt;</w:t>
      </w:r>
      <w:r>
        <w:rPr>
          <w:rFonts w:hint="eastAsia" w:ascii="仿宋_GB2312" w:hAnsi="仿宋" w:eastAsia="仿宋_GB2312" w:cs="仿宋"/>
          <w:sz w:val="32"/>
          <w:szCs w:val="32"/>
          <w:lang w:eastAsia="zh"/>
        </w:rPr>
        <w:t>危险性较大的分部分项工程安全管理规定</w:t>
      </w:r>
      <w:r>
        <w:rPr>
          <w:rFonts w:hint="eastAsia" w:ascii="仿宋_GB2312" w:hAnsi="仿宋" w:eastAsia="仿宋_GB2312" w:cs="仿宋"/>
          <w:sz w:val="32"/>
          <w:szCs w:val="32"/>
        </w:rPr>
        <w:t>&gt;的通知》（</w:t>
      </w:r>
      <w:r>
        <w:rPr>
          <w:rFonts w:hint="eastAsia" w:ascii="仿宋_GB2312" w:hAnsi="仿宋" w:eastAsia="仿宋_GB2312" w:cs="仿宋"/>
          <w:sz w:val="32"/>
          <w:szCs w:val="32"/>
          <w:lang w:eastAsia="zh"/>
        </w:rPr>
        <w:t>建办质〔2018〕3</w:t>
      </w:r>
      <w:r>
        <w:rPr>
          <w:rFonts w:hint="eastAsia" w:ascii="仿宋_GB2312" w:hAnsi="仿宋" w:eastAsia="仿宋_GB2312" w:cs="仿宋"/>
          <w:sz w:val="32"/>
          <w:szCs w:val="32"/>
        </w:rPr>
        <w:t>1</w:t>
      </w:r>
      <w:r>
        <w:rPr>
          <w:rFonts w:hint="eastAsia" w:ascii="仿宋_GB2312" w:hAnsi="仿宋" w:eastAsia="仿宋_GB2312" w:cs="仿宋"/>
          <w:sz w:val="32"/>
          <w:szCs w:val="32"/>
          <w:lang w:eastAsia="zh"/>
        </w:rPr>
        <w:t>号）《危大工程专项施工方案编制指南》（建办质〔2021〕48号</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《房屋市政工程生产安全重大事故隐患判定标准》（2024版）</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建质</w:t>
      </w:r>
      <w:r>
        <w:rPr>
          <w:rFonts w:hint="eastAsia" w:ascii="仿宋_GB2312" w:hAnsi="仿宋" w:eastAsia="仿宋_GB2312" w:cs="仿宋"/>
          <w:sz w:val="32"/>
          <w:szCs w:val="32"/>
        </w:rPr>
        <w:t>规</w:t>
      </w:r>
      <w:r>
        <w:rPr>
          <w:rFonts w:hint="eastAsia" w:ascii="仿宋_GB2312" w:hAnsi="仿宋" w:eastAsia="仿宋_GB2312" w:cs="仿宋"/>
          <w:sz w:val="32"/>
          <w:szCs w:val="32"/>
          <w:lang w:eastAsia="zh"/>
        </w:rPr>
        <w:t>〔2024〕</w:t>
      </w:r>
      <w:r>
        <w:rPr>
          <w:rFonts w:hint="eastAsia" w:ascii="仿宋_GB2312" w:hAnsi="仿宋" w:eastAsia="仿宋_GB2312" w:cs="仿宋"/>
          <w:sz w:val="32"/>
          <w:szCs w:val="32"/>
        </w:rPr>
        <w:t>5</w:t>
      </w:r>
      <w:r>
        <w:rPr>
          <w:rFonts w:hint="eastAsia" w:ascii="仿宋_GB2312" w:hAnsi="仿宋" w:eastAsia="仿宋_GB2312" w:cs="仿宋"/>
          <w:sz w:val="32"/>
          <w:szCs w:val="32"/>
          <w:lang w:eastAsia="zh"/>
        </w:rPr>
        <w:t>号</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《危险性较大的分部分项工程专项施工方案严重缺陷清单(试行)》</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建办质〔2024〕63号）《房屋建筑和市政基础设施工程危及生产安全施工工艺、设备和材料淘汰目录（第一批）》</w:t>
      </w:r>
      <w:r>
        <w:rPr>
          <w:rFonts w:hint="eastAsia" w:ascii="仿宋_GB2312" w:hAnsi="仿宋" w:eastAsia="仿宋_GB2312" w:cs="仿宋"/>
          <w:sz w:val="32"/>
          <w:szCs w:val="32"/>
        </w:rPr>
        <w:t>（住建部</w:t>
      </w:r>
      <w:r>
        <w:rPr>
          <w:rFonts w:hint="eastAsia" w:ascii="仿宋_GB2312" w:hAnsi="仿宋" w:eastAsia="仿宋_GB2312" w:cs="仿宋"/>
          <w:sz w:val="32"/>
          <w:szCs w:val="32"/>
          <w:lang w:eastAsia="zh"/>
        </w:rPr>
        <w:t>公告2021年第214号</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房屋建筑和市政基础设施工程禁止和限制使用技术目录（第二批）》</w:t>
      </w:r>
      <w:r>
        <w:rPr>
          <w:rFonts w:hint="eastAsia" w:ascii="仿宋_GB2312" w:hAnsi="仿宋" w:eastAsia="仿宋_GB2312" w:cs="仿宋"/>
          <w:sz w:val="32"/>
          <w:szCs w:val="32"/>
        </w:rPr>
        <w:t>（住建部公告2024年第186号）</w:t>
      </w:r>
      <w:r>
        <w:rPr>
          <w:rFonts w:hint="eastAsia" w:ascii="仿宋_GB2312" w:hAnsi="仿宋" w:eastAsia="仿宋_GB2312" w:cs="仿宋"/>
          <w:sz w:val="32"/>
          <w:szCs w:val="32"/>
          <w:lang w:eastAsia="zh"/>
        </w:rPr>
        <w:t>《建筑与市政地基基础通用规范》（GB 55003-2021）《建筑桩基技术规范》（JGJ94-2008）《建筑地基基础工程施工规范》（GB51004-2015）《建筑施工安全检查标准》（JGJ59—2011）《市政工程施工安全检查标准》（CJJ/T</w:t>
      </w:r>
      <w:r>
        <w:rPr>
          <w:rFonts w:hint="eastAsia" w:ascii="仿宋_GB2312" w:hAnsi="仿宋" w:eastAsia="仿宋_GB2312" w:cs="仿宋"/>
          <w:sz w:val="32"/>
          <w:szCs w:val="32"/>
        </w:rPr>
        <w:t xml:space="preserve"> </w:t>
      </w:r>
      <w:r>
        <w:rPr>
          <w:rFonts w:hint="eastAsia" w:ascii="仿宋_GB2312" w:hAnsi="仿宋" w:eastAsia="仿宋_GB2312" w:cs="仿宋"/>
          <w:sz w:val="32"/>
          <w:szCs w:val="32"/>
          <w:lang w:eastAsia="zh"/>
        </w:rPr>
        <w:t>275—2018）</w:t>
      </w:r>
      <w:r>
        <w:rPr>
          <w:rFonts w:hint="eastAsia" w:ascii="仿宋_GB2312" w:eastAsia="仿宋_GB2312"/>
          <w:sz w:val="32"/>
          <w:szCs w:val="32"/>
        </w:rPr>
        <w:t>等相关规定</w:t>
      </w:r>
      <w:r>
        <w:rPr>
          <w:rFonts w:hint="eastAsia" w:ascii="仿宋_GB2312" w:hAnsi="仿宋" w:eastAsia="仿宋_GB2312" w:cs="仿宋"/>
          <w:sz w:val="32"/>
          <w:szCs w:val="32"/>
          <w:lang w:eastAsia="zh"/>
        </w:rPr>
        <w:t>。</w:t>
      </w:r>
    </w:p>
    <w:p w14:paraId="1CB62903">
      <w:pPr>
        <w:spacing w:line="560" w:lineRule="exact"/>
        <w:ind w:firstLine="640" w:firstLineChars="200"/>
        <w:rPr>
          <w:rFonts w:hint="eastAsia" w:ascii="黑体" w:hAnsi="黑体" w:eastAsia="黑体" w:cs="仿宋"/>
          <w:sz w:val="32"/>
          <w:szCs w:val="32"/>
        </w:rPr>
      </w:pPr>
      <w:r>
        <w:rPr>
          <w:rFonts w:hint="eastAsia" w:ascii="黑体" w:hAnsi="黑体" w:eastAsia="黑体" w:cs="仿宋"/>
          <w:sz w:val="32"/>
          <w:szCs w:val="32"/>
        </w:rPr>
        <w:t>二、管控重点</w:t>
      </w:r>
    </w:p>
    <w:p w14:paraId="1350208C">
      <w:pPr>
        <w:spacing w:line="560" w:lineRule="exact"/>
        <w:ind w:firstLine="643" w:firstLineChars="200"/>
        <w:rPr>
          <w:rFonts w:hint="eastAsia" w:ascii="楷体" w:hAnsi="楷体" w:eastAsia="楷体" w:cs="楷体"/>
          <w:b/>
          <w:bCs/>
          <w:sz w:val="32"/>
          <w:szCs w:val="32"/>
          <w:lang w:eastAsia="zh"/>
        </w:rPr>
      </w:pPr>
      <w:r>
        <w:rPr>
          <w:rFonts w:hint="eastAsia" w:ascii="楷体" w:hAnsi="楷体" w:eastAsia="楷体" w:cs="楷体"/>
          <w:b/>
          <w:bCs/>
          <w:sz w:val="32"/>
          <w:szCs w:val="32"/>
        </w:rPr>
        <w:t>（一）工艺使用限制</w:t>
      </w:r>
    </w:p>
    <w:p w14:paraId="03FD6724">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根据住建部</w:t>
      </w:r>
      <w:r>
        <w:rPr>
          <w:rFonts w:hint="eastAsia" w:ascii="仿宋_GB2312" w:hAnsi="仿宋" w:eastAsia="仿宋_GB2312" w:cs="仿宋"/>
          <w:sz w:val="32"/>
          <w:szCs w:val="32"/>
          <w:lang w:eastAsia="zh"/>
        </w:rPr>
        <w:t>公告2021年第214号</w:t>
      </w:r>
      <w:r>
        <w:rPr>
          <w:rFonts w:hint="eastAsia" w:ascii="仿宋_GB2312" w:hAnsi="仿宋" w:eastAsia="仿宋_GB2312" w:cs="仿宋"/>
          <w:sz w:val="32"/>
          <w:szCs w:val="32"/>
        </w:rPr>
        <w:t>，基桩</w:t>
      </w:r>
      <w:r>
        <w:rPr>
          <w:rFonts w:hint="eastAsia" w:ascii="仿宋_GB2312" w:hAnsi="仿宋" w:eastAsia="仿宋_GB2312" w:cs="仿宋"/>
          <w:sz w:val="32"/>
          <w:szCs w:val="32"/>
          <w:lang w:eastAsia="zh"/>
        </w:rPr>
        <w:t>人工挖孔桩</w:t>
      </w:r>
      <w:r>
        <w:rPr>
          <w:rFonts w:hint="eastAsia" w:ascii="仿宋_GB2312" w:hAnsi="仿宋" w:eastAsia="仿宋_GB2312" w:cs="仿宋"/>
          <w:sz w:val="32"/>
          <w:szCs w:val="32"/>
        </w:rPr>
        <w:t>工艺属于限制类施工工艺，存在下列条件之一的区域不得使用该工艺：1.地下水丰富、软弱土层、流沙等不良地质条件的区域；2.孔内空气污染物超标准；3.机械成孔设备可以到达的区域。</w:t>
      </w:r>
    </w:p>
    <w:p w14:paraId="2B6A801C">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（二）危大工程管理要求</w:t>
      </w:r>
    </w:p>
    <w:p w14:paraId="2FC1763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根据</w:t>
      </w:r>
      <w:r>
        <w:rPr>
          <w:rFonts w:hint="eastAsia" w:ascii="仿宋_GB2312" w:hAnsi="仿宋" w:eastAsia="仿宋_GB2312" w:cs="仿宋"/>
          <w:sz w:val="32"/>
          <w:szCs w:val="32"/>
          <w:lang w:eastAsia="zh"/>
        </w:rPr>
        <w:t>建办质[2018]3</w:t>
      </w:r>
      <w:r>
        <w:rPr>
          <w:rFonts w:hint="eastAsia" w:ascii="仿宋_GB2312" w:hAnsi="仿宋" w:eastAsia="仿宋_GB2312" w:cs="仿宋"/>
          <w:sz w:val="32"/>
          <w:szCs w:val="32"/>
        </w:rPr>
        <w:t>1</w:t>
      </w:r>
      <w:r>
        <w:rPr>
          <w:rFonts w:hint="eastAsia" w:ascii="仿宋_GB2312" w:hAnsi="仿宋" w:eastAsia="仿宋_GB2312" w:cs="仿宋"/>
          <w:sz w:val="32"/>
          <w:szCs w:val="32"/>
          <w:lang w:eastAsia="zh"/>
        </w:rPr>
        <w:t>号</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人工挖孔桩</w:t>
      </w:r>
      <w:r>
        <w:rPr>
          <w:rFonts w:hint="eastAsia" w:ascii="仿宋_GB2312" w:hAnsi="仿宋" w:eastAsia="仿宋_GB2312" w:cs="仿宋"/>
          <w:sz w:val="32"/>
          <w:szCs w:val="32"/>
        </w:rPr>
        <w:t>工程</w:t>
      </w:r>
      <w:r>
        <w:rPr>
          <w:rFonts w:hint="eastAsia" w:ascii="仿宋_GB2312" w:hAnsi="仿宋" w:eastAsia="仿宋_GB2312" w:cs="仿宋"/>
          <w:sz w:val="32"/>
          <w:szCs w:val="32"/>
          <w:lang w:eastAsia="zh"/>
        </w:rPr>
        <w:t>属于危大工程，开工前必须办理</w:t>
      </w:r>
      <w:r>
        <w:rPr>
          <w:rFonts w:hint="eastAsia" w:ascii="仿宋_GB2312" w:hAnsi="仿宋" w:eastAsia="仿宋_GB2312" w:cs="仿宋"/>
          <w:sz w:val="32"/>
          <w:szCs w:val="32"/>
        </w:rPr>
        <w:t>危大工程</w:t>
      </w:r>
      <w:r>
        <w:rPr>
          <w:rFonts w:hint="eastAsia" w:ascii="仿宋_GB2312" w:hAnsi="仿宋" w:eastAsia="仿宋_GB2312" w:cs="仿宋"/>
          <w:sz w:val="32"/>
          <w:szCs w:val="32"/>
          <w:lang w:eastAsia="zh"/>
        </w:rPr>
        <w:t>开工安全生产条件审查。深度超过16m的人工挖孔桩属于超过一定规模的危险性较大的分部分项工程，</w:t>
      </w:r>
      <w:r>
        <w:rPr>
          <w:rFonts w:hint="eastAsia" w:ascii="仿宋_GB2312" w:hAnsi="仿宋" w:eastAsia="仿宋_GB2312" w:cs="仿宋"/>
          <w:sz w:val="32"/>
          <w:szCs w:val="32"/>
        </w:rPr>
        <w:t>专项方案</w:t>
      </w:r>
      <w:r>
        <w:rPr>
          <w:rFonts w:hint="eastAsia" w:ascii="仿宋_GB2312" w:hAnsi="仿宋" w:eastAsia="仿宋_GB2312" w:cs="仿宋"/>
          <w:sz w:val="32"/>
          <w:szCs w:val="32"/>
          <w:lang w:eastAsia="zh"/>
        </w:rPr>
        <w:t>必须按照规定组织专家论证</w:t>
      </w:r>
      <w:r>
        <w:rPr>
          <w:rFonts w:hint="eastAsia" w:ascii="仿宋_GB2312" w:hAnsi="仿宋" w:eastAsia="仿宋_GB2312" w:cs="仿宋"/>
          <w:sz w:val="32"/>
          <w:szCs w:val="32"/>
        </w:rPr>
        <w:t>。</w:t>
      </w:r>
    </w:p>
    <w:p w14:paraId="2BE0A666">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（三）专项方案管理</w:t>
      </w:r>
    </w:p>
    <w:p w14:paraId="645C540B">
      <w:pPr>
        <w:spacing w:line="56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rPr>
        <w:t>人工挖孔桩工程专项施工方案应按照</w:t>
      </w:r>
      <w:r>
        <w:rPr>
          <w:rFonts w:hint="eastAsia" w:ascii="仿宋_GB2312" w:hAnsi="仿宋" w:eastAsia="仿宋_GB2312" w:cs="仿宋"/>
          <w:sz w:val="32"/>
          <w:szCs w:val="32"/>
          <w:lang w:eastAsia="zh"/>
        </w:rPr>
        <w:t>建办质〔2021〕48号</w:t>
      </w:r>
      <w:r>
        <w:rPr>
          <w:rFonts w:hint="eastAsia" w:ascii="仿宋_GB2312" w:hAnsi="仿宋" w:eastAsia="仿宋_GB2312" w:cs="仿宋"/>
          <w:sz w:val="32"/>
          <w:szCs w:val="32"/>
        </w:rPr>
        <w:t>要求进行编制，专项施工方案存在</w:t>
      </w:r>
      <w:r>
        <w:rPr>
          <w:rFonts w:hint="eastAsia" w:ascii="仿宋_GB2312" w:hAnsi="仿宋" w:eastAsia="仿宋_GB2312" w:cs="仿宋"/>
          <w:sz w:val="32"/>
          <w:szCs w:val="32"/>
          <w:lang w:eastAsia="zh"/>
        </w:rPr>
        <w:t>建办质〔2024〕63号</w:t>
      </w:r>
      <w:r>
        <w:rPr>
          <w:rFonts w:hint="eastAsia" w:ascii="仿宋_GB2312" w:hAnsi="仿宋" w:eastAsia="仿宋_GB2312" w:cs="仿宋"/>
          <w:sz w:val="32"/>
          <w:szCs w:val="32"/>
        </w:rPr>
        <w:t>文中通用条款共17条和专用条款共5条严重缺陷情形的，其审核、审查、专家论证应不予通过。其中专用条款共5条分别为：1.</w:t>
      </w:r>
      <w:r>
        <w:rPr>
          <w:rFonts w:hint="eastAsia" w:ascii="仿宋_GB2312" w:hAnsi="仿宋" w:eastAsia="仿宋_GB2312" w:cs="仿宋"/>
          <w:sz w:val="32"/>
          <w:szCs w:val="32"/>
          <w:lang w:eastAsia="zh"/>
        </w:rPr>
        <w:t>无混凝土护壁施工工序。2</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开挖范围内有易塌方地层，无防塌方措施。3</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孔底扩孔部位无防塌落措施。4</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无防止物体打击措施。5</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相邻挖孔桩之间无挖孔和灌注混凝土间隔施工的工序安排。</w:t>
      </w:r>
    </w:p>
    <w:p w14:paraId="451124A7">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（四）安全防护措施</w:t>
      </w:r>
    </w:p>
    <w:p w14:paraId="3DB801C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lang w:eastAsia="zh"/>
        </w:rPr>
        <w:t>应依据</w:t>
      </w:r>
      <w:r>
        <w:rPr>
          <w:rFonts w:hint="eastAsia" w:ascii="仿宋_GB2312" w:hAnsi="仿宋" w:eastAsia="仿宋_GB2312" w:cs="仿宋"/>
          <w:sz w:val="32"/>
          <w:szCs w:val="32"/>
        </w:rPr>
        <w:t>专项施工方案以及施工现场情况做好</w:t>
      </w:r>
      <w:r>
        <w:rPr>
          <w:rFonts w:hint="eastAsia" w:ascii="仿宋_GB2312" w:hAnsi="仿宋" w:eastAsia="仿宋_GB2312" w:cs="仿宋"/>
          <w:sz w:val="32"/>
          <w:szCs w:val="32"/>
          <w:lang w:eastAsia="zh"/>
        </w:rPr>
        <w:t>防高处坠落、防坍塌、</w:t>
      </w:r>
      <w:r>
        <w:rPr>
          <w:rFonts w:hint="eastAsia" w:ascii="仿宋_GB2312" w:hAnsi="仿宋" w:eastAsia="仿宋_GB2312" w:cs="仿宋"/>
          <w:sz w:val="32"/>
          <w:szCs w:val="32"/>
        </w:rPr>
        <w:t>防物体打击、</w:t>
      </w:r>
      <w:r>
        <w:rPr>
          <w:rFonts w:hint="eastAsia" w:ascii="仿宋_GB2312" w:hAnsi="仿宋" w:eastAsia="仿宋_GB2312" w:cs="仿宋"/>
          <w:sz w:val="32"/>
          <w:szCs w:val="32"/>
          <w:lang w:eastAsia="zh"/>
        </w:rPr>
        <w:t>防中毒</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防触电等针对性</w:t>
      </w:r>
      <w:r>
        <w:rPr>
          <w:rFonts w:hint="eastAsia" w:ascii="仿宋_GB2312" w:hAnsi="仿宋" w:eastAsia="仿宋_GB2312" w:cs="仿宋"/>
          <w:sz w:val="32"/>
          <w:szCs w:val="32"/>
        </w:rPr>
        <w:t>的</w:t>
      </w:r>
      <w:r>
        <w:rPr>
          <w:rFonts w:hint="eastAsia" w:ascii="仿宋_GB2312" w:hAnsi="仿宋" w:eastAsia="仿宋_GB2312" w:cs="仿宋"/>
          <w:sz w:val="32"/>
          <w:szCs w:val="32"/>
          <w:lang w:eastAsia="zh"/>
        </w:rPr>
        <w:t>安全防护措施</w:t>
      </w:r>
      <w:r>
        <w:rPr>
          <w:rFonts w:hint="eastAsia" w:ascii="仿宋_GB2312" w:hAnsi="仿宋" w:eastAsia="仿宋_GB2312" w:cs="仿宋"/>
          <w:sz w:val="32"/>
          <w:szCs w:val="32"/>
        </w:rPr>
        <w:t>。</w:t>
      </w:r>
    </w:p>
    <w:p w14:paraId="5728BA02">
      <w:pPr>
        <w:spacing w:line="56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rPr>
        <w:t>1.</w:t>
      </w:r>
      <w:r>
        <w:rPr>
          <w:rFonts w:hint="eastAsia" w:ascii="仿宋_GB2312" w:hAnsi="仿宋" w:eastAsia="仿宋_GB2312" w:cs="仿宋"/>
          <w:sz w:val="32"/>
          <w:szCs w:val="32"/>
          <w:lang w:eastAsia="zh"/>
        </w:rPr>
        <w:t>防止高处坠落措施：</w:t>
      </w:r>
      <w:r>
        <w:rPr>
          <w:rFonts w:hint="eastAsia" w:ascii="仿宋_GB2312" w:hAnsi="仿宋" w:eastAsia="仿宋_GB2312" w:cs="仿宋"/>
          <w:sz w:val="32"/>
          <w:szCs w:val="32"/>
        </w:rPr>
        <w:t>一是施工作业使用的电葫芦、吊笼应配有自动卡紧保险装置，电葫芦应采用带急停功能的按钮式开关，使用前应检验其起吊能力，定期进行维护保养，确保设备完好。二是</w:t>
      </w:r>
      <w:r>
        <w:rPr>
          <w:rFonts w:hint="eastAsia" w:ascii="仿宋_GB2312" w:hAnsi="仿宋" w:eastAsia="仿宋_GB2312" w:cs="仿宋"/>
          <w:sz w:val="32"/>
          <w:szCs w:val="32"/>
          <w:lang w:eastAsia="zh"/>
        </w:rPr>
        <w:t>井孔周边</w:t>
      </w:r>
      <w:r>
        <w:rPr>
          <w:rFonts w:hint="eastAsia" w:ascii="仿宋_GB2312" w:hAnsi="仿宋" w:eastAsia="仿宋_GB2312" w:cs="仿宋"/>
          <w:sz w:val="32"/>
          <w:szCs w:val="32"/>
        </w:rPr>
        <w:t>应</w:t>
      </w:r>
      <w:r>
        <w:rPr>
          <w:rFonts w:hint="eastAsia" w:ascii="仿宋_GB2312" w:hAnsi="仿宋" w:eastAsia="仿宋_GB2312" w:cs="仿宋"/>
          <w:sz w:val="32"/>
          <w:szCs w:val="32"/>
          <w:lang w:eastAsia="zh"/>
        </w:rPr>
        <w:t>设置</w:t>
      </w:r>
      <w:r>
        <w:rPr>
          <w:rFonts w:hint="eastAsia" w:ascii="仿宋_GB2312" w:hAnsi="仿宋" w:eastAsia="仿宋_GB2312" w:cs="仿宋"/>
          <w:sz w:val="32"/>
          <w:szCs w:val="32"/>
        </w:rPr>
        <w:t>安全</w:t>
      </w:r>
      <w:r>
        <w:rPr>
          <w:rFonts w:hint="eastAsia" w:ascii="仿宋_GB2312" w:hAnsi="仿宋" w:eastAsia="仿宋_GB2312" w:cs="仿宋"/>
          <w:sz w:val="32"/>
          <w:szCs w:val="32"/>
          <w:lang w:eastAsia="zh"/>
        </w:rPr>
        <w:t>护栏，护栏高度宜为</w:t>
      </w:r>
      <w:r>
        <w:rPr>
          <w:rFonts w:hint="eastAsia" w:ascii="仿宋_GB2312" w:hAnsi="仿宋" w:eastAsia="仿宋_GB2312" w:cs="仿宋"/>
          <w:sz w:val="32"/>
          <w:szCs w:val="32"/>
        </w:rPr>
        <w:t>1.2M</w:t>
      </w:r>
      <w:r>
        <w:rPr>
          <w:rFonts w:hint="eastAsia" w:ascii="仿宋_GB2312" w:hAnsi="仿宋" w:eastAsia="仿宋_GB2312" w:cs="仿宋"/>
          <w:sz w:val="32"/>
          <w:szCs w:val="32"/>
          <w:lang w:eastAsia="zh"/>
        </w:rPr>
        <w:t>；孔口应及时覆盖，遮盖应牢固严密，张挂警示标识等。</w:t>
      </w:r>
      <w:r>
        <w:rPr>
          <w:rFonts w:hint="eastAsia" w:ascii="仿宋_GB2312" w:hAnsi="仿宋" w:eastAsia="仿宋_GB2312" w:cs="仿宋"/>
          <w:sz w:val="32"/>
          <w:szCs w:val="32"/>
        </w:rPr>
        <w:t>三是</w:t>
      </w:r>
      <w:r>
        <w:rPr>
          <w:rFonts w:hint="eastAsia" w:ascii="仿宋_GB2312" w:hAnsi="仿宋" w:eastAsia="仿宋_GB2312" w:cs="仿宋"/>
          <w:sz w:val="32"/>
          <w:szCs w:val="32"/>
          <w:lang w:eastAsia="zh"/>
        </w:rPr>
        <w:t>第一节井圈护壁应高出</w:t>
      </w:r>
      <w:r>
        <w:rPr>
          <w:rFonts w:hint="eastAsia" w:ascii="仿宋_GB2312" w:hAnsi="仿宋" w:eastAsia="仿宋_GB2312" w:cs="仿宋"/>
          <w:sz w:val="32"/>
          <w:szCs w:val="32"/>
        </w:rPr>
        <w:t>地面200</w:t>
      </w:r>
      <w:r>
        <w:rPr>
          <w:rFonts w:hint="eastAsia" w:ascii="仿宋_GB2312" w:hAnsi="仿宋" w:eastAsia="仿宋_GB2312" w:cs="仿宋"/>
          <w:sz w:val="32"/>
          <w:szCs w:val="32"/>
          <w:lang w:eastAsia="zh"/>
        </w:rPr>
        <w:t>mm，以防杂物滚入孔内。</w:t>
      </w:r>
      <w:r>
        <w:rPr>
          <w:rFonts w:hint="eastAsia" w:ascii="仿宋_GB2312" w:hAnsi="仿宋" w:eastAsia="仿宋_GB2312" w:cs="仿宋"/>
          <w:sz w:val="32"/>
          <w:szCs w:val="32"/>
        </w:rPr>
        <w:t>四是</w:t>
      </w:r>
      <w:r>
        <w:rPr>
          <w:rFonts w:hint="eastAsia" w:ascii="仿宋_GB2312" w:hAnsi="仿宋" w:eastAsia="仿宋_GB2312" w:cs="仿宋"/>
          <w:sz w:val="32"/>
          <w:szCs w:val="32"/>
          <w:lang w:eastAsia="zh"/>
        </w:rPr>
        <w:t>孔内作业人员必须佩戴安全帽</w:t>
      </w:r>
      <w:r>
        <w:rPr>
          <w:rFonts w:hint="eastAsia" w:ascii="仿宋_GB2312" w:hAnsi="仿宋" w:eastAsia="仿宋_GB2312" w:cs="仿宋"/>
          <w:sz w:val="32"/>
          <w:szCs w:val="32"/>
        </w:rPr>
        <w:t>以及五点式</w:t>
      </w:r>
      <w:r>
        <w:rPr>
          <w:rFonts w:hint="eastAsia" w:ascii="仿宋_GB2312" w:hAnsi="仿宋" w:eastAsia="仿宋_GB2312" w:cs="仿宋"/>
          <w:sz w:val="32"/>
          <w:szCs w:val="32"/>
          <w:lang w:eastAsia="zh"/>
        </w:rPr>
        <w:t>安全带，不得采用人工拉绳子的方式运送人员，也不得脚踩护壁凸缘上下桩孔。</w:t>
      </w:r>
      <w:r>
        <w:rPr>
          <w:rFonts w:hint="eastAsia" w:ascii="仿宋_GB2312" w:hAnsi="仿宋" w:eastAsia="仿宋_GB2312" w:cs="仿宋"/>
          <w:sz w:val="32"/>
          <w:szCs w:val="32"/>
        </w:rPr>
        <w:t>五是</w:t>
      </w:r>
      <w:r>
        <w:rPr>
          <w:rFonts w:hint="eastAsia" w:ascii="仿宋_GB2312" w:hAnsi="仿宋" w:eastAsia="仿宋_GB2312" w:cs="仿宋"/>
          <w:sz w:val="32"/>
          <w:szCs w:val="32"/>
          <w:lang w:eastAsia="zh"/>
        </w:rPr>
        <w:t>孔内必须设置应急软爬梯，并随挖孔深度增加延长至工作面</w:t>
      </w:r>
      <w:r>
        <w:rPr>
          <w:rFonts w:hint="eastAsia" w:ascii="仿宋_GB2312" w:hAnsi="仿宋" w:eastAsia="仿宋_GB2312" w:cs="仿宋"/>
          <w:sz w:val="32"/>
          <w:szCs w:val="32"/>
        </w:rPr>
        <w:t>，软爬梯固定应安全牢固</w:t>
      </w:r>
      <w:r>
        <w:rPr>
          <w:rFonts w:hint="eastAsia" w:ascii="仿宋_GB2312" w:hAnsi="仿宋" w:eastAsia="仿宋_GB2312" w:cs="仿宋"/>
          <w:sz w:val="32"/>
          <w:szCs w:val="32"/>
          <w:lang w:eastAsia="zh"/>
        </w:rPr>
        <w:t>。</w:t>
      </w:r>
    </w:p>
    <w:p w14:paraId="5074B797">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w:t>
      </w:r>
      <w:r>
        <w:rPr>
          <w:rFonts w:hint="eastAsia" w:ascii="仿宋_GB2312" w:hAnsi="仿宋" w:eastAsia="仿宋_GB2312" w:cs="仿宋"/>
          <w:sz w:val="32"/>
          <w:szCs w:val="32"/>
          <w:lang w:eastAsia="zh"/>
        </w:rPr>
        <w:t>.防止坍塌措施：</w:t>
      </w:r>
      <w:r>
        <w:rPr>
          <w:rFonts w:hint="eastAsia" w:ascii="仿宋_GB2312" w:hAnsi="仿宋" w:eastAsia="仿宋_GB2312" w:cs="仿宋"/>
          <w:b/>
          <w:bCs/>
          <w:sz w:val="32"/>
          <w:szCs w:val="32"/>
        </w:rPr>
        <w:t>一是</w:t>
      </w:r>
      <w:r>
        <w:rPr>
          <w:rFonts w:hint="eastAsia" w:ascii="仿宋_GB2312" w:hAnsi="仿宋" w:eastAsia="仿宋_GB2312" w:cs="仿宋"/>
          <w:sz w:val="32"/>
          <w:szCs w:val="32"/>
        </w:rPr>
        <w:t>人工挖孔桩的桩</w:t>
      </w:r>
      <w:r>
        <w:rPr>
          <w:rFonts w:hint="eastAsia" w:ascii="仿宋_GB2312" w:hAnsi="仿宋" w:eastAsia="仿宋_GB2312" w:cs="仿宋"/>
          <w:sz w:val="32"/>
          <w:szCs w:val="32"/>
          <w:lang w:eastAsia="zh"/>
        </w:rPr>
        <w:t>净距小于2.5m时，应采用间隔开挖</w:t>
      </w:r>
      <w:r>
        <w:rPr>
          <w:rFonts w:hint="eastAsia" w:ascii="仿宋_GB2312" w:hAnsi="仿宋" w:eastAsia="仿宋_GB2312" w:cs="仿宋"/>
          <w:sz w:val="32"/>
          <w:szCs w:val="32"/>
        </w:rPr>
        <w:t>和间隔灌注</w:t>
      </w:r>
      <w:r>
        <w:rPr>
          <w:rFonts w:hint="eastAsia" w:ascii="仿宋_GB2312" w:hAnsi="仿宋" w:eastAsia="仿宋_GB2312" w:cs="仿宋"/>
          <w:sz w:val="32"/>
          <w:szCs w:val="32"/>
          <w:lang w:eastAsia="zh"/>
        </w:rPr>
        <w:t>；相邻排桩跳挖的最小施工净距不得小于</w:t>
      </w:r>
      <w:r>
        <w:rPr>
          <w:rFonts w:hint="eastAsia" w:ascii="仿宋_GB2312" w:hAnsi="仿宋" w:eastAsia="仿宋_GB2312" w:cs="仿宋"/>
          <w:sz w:val="32"/>
          <w:szCs w:val="32"/>
        </w:rPr>
        <w:t>5m</w:t>
      </w:r>
      <w:r>
        <w:rPr>
          <w:rFonts w:hint="eastAsia" w:ascii="仿宋_GB2312" w:hAnsi="仿宋" w:eastAsia="仿宋_GB2312" w:cs="仿宋"/>
          <w:sz w:val="32"/>
          <w:szCs w:val="32"/>
          <w:lang w:eastAsia="zh"/>
        </w:rPr>
        <w:t>。</w:t>
      </w:r>
      <w:r>
        <w:rPr>
          <w:rFonts w:hint="eastAsia" w:ascii="仿宋_GB2312" w:hAnsi="仿宋" w:eastAsia="仿宋_GB2312" w:cs="仿宋"/>
          <w:b/>
          <w:bCs/>
          <w:sz w:val="32"/>
          <w:szCs w:val="32"/>
        </w:rPr>
        <w:t>二是</w:t>
      </w:r>
      <w:r>
        <w:rPr>
          <w:rFonts w:hint="eastAsia" w:ascii="仿宋_GB2312" w:hAnsi="仿宋" w:eastAsia="仿宋_GB2312" w:cs="仿宋"/>
          <w:sz w:val="32"/>
          <w:szCs w:val="32"/>
          <w:lang w:eastAsia="zh"/>
        </w:rPr>
        <w:t>挖出的土方不得堆放在井口周边1m范围内，并应及时运离开挖区域；机动车辆通行时，不得对井壁安全造成影响，应采取预防措施并暂停孔内作业，以防挤压导致塌孔。</w:t>
      </w:r>
      <w:r>
        <w:rPr>
          <w:rFonts w:hint="eastAsia" w:ascii="仿宋_GB2312" w:hAnsi="仿宋" w:eastAsia="仿宋_GB2312" w:cs="仿宋"/>
          <w:b/>
          <w:bCs/>
          <w:sz w:val="32"/>
          <w:szCs w:val="32"/>
        </w:rPr>
        <w:t>三是</w:t>
      </w:r>
      <w:r>
        <w:rPr>
          <w:rFonts w:hint="eastAsia" w:ascii="仿宋_GB2312" w:hAnsi="仿宋" w:eastAsia="仿宋_GB2312" w:cs="仿宋"/>
          <w:sz w:val="32"/>
          <w:szCs w:val="32"/>
          <w:lang w:eastAsia="zh"/>
        </w:rPr>
        <w:t>桩身混凝土终凝前，相邻10m范围内应停止挖孔作业，孔底不得留人。</w:t>
      </w:r>
      <w:r>
        <w:rPr>
          <w:rFonts w:hint="eastAsia" w:ascii="仿宋_GB2312" w:hAnsi="仿宋" w:eastAsia="仿宋_GB2312" w:cs="仿宋"/>
          <w:b/>
          <w:bCs/>
          <w:sz w:val="32"/>
          <w:szCs w:val="32"/>
        </w:rPr>
        <w:t>四是</w:t>
      </w:r>
      <w:r>
        <w:rPr>
          <w:rFonts w:hint="eastAsia" w:ascii="仿宋_GB2312" w:hAnsi="仿宋" w:eastAsia="仿宋_GB2312" w:cs="仿宋"/>
          <w:sz w:val="32"/>
          <w:szCs w:val="32"/>
          <w:lang w:eastAsia="zh"/>
        </w:rPr>
        <w:t>孔壁支护必须严格按照规范和设计要求施工，确保孔壁混凝土的厚度、强度、配筋等符合设计要求。土方开挖后必须立即对孔壁进行支护，每节护壁均应在当日施工完毕，上下节护壁的搭接长度不得小于50mm；护壁模板的拆除应在灌注混凝土24h之后；待孔壁支护达到设计强度后，才能进行下部开挖。当遭遇不良地质情况时，应减小每节护壁高度或采用钢护筒等有效措施。</w:t>
      </w:r>
    </w:p>
    <w:p w14:paraId="28B40608">
      <w:pPr>
        <w:spacing w:line="560" w:lineRule="exact"/>
        <w:ind w:firstLine="640" w:firstLineChars="200"/>
        <w:rPr>
          <w:rFonts w:hint="eastAsia" w:ascii="仿宋_GB2312" w:hAnsi="仿宋_GB2312" w:eastAsia="仿宋_GB2312" w:cs="仿宋"/>
          <w:sz w:val="32"/>
          <w:szCs w:val="21"/>
        </w:rPr>
      </w:pPr>
      <w:r>
        <w:rPr>
          <w:rFonts w:hint="eastAsia" w:ascii="仿宋_GB2312" w:hAnsi="仿宋" w:eastAsia="仿宋_GB2312" w:cs="仿宋"/>
          <w:sz w:val="32"/>
          <w:szCs w:val="32"/>
        </w:rPr>
        <w:t>3</w:t>
      </w:r>
      <w:r>
        <w:rPr>
          <w:rFonts w:hint="eastAsia" w:ascii="仿宋_GB2312" w:hAnsi="仿宋" w:eastAsia="仿宋_GB2312" w:cs="仿宋"/>
          <w:sz w:val="32"/>
          <w:szCs w:val="32"/>
          <w:lang w:eastAsia="zh"/>
        </w:rPr>
        <w:t>.防止中毒措施：</w:t>
      </w:r>
      <w:r>
        <w:rPr>
          <w:rFonts w:hint="eastAsia" w:ascii="仿宋_GB2312" w:hAnsi="仿宋" w:eastAsia="仿宋_GB2312" w:cs="仿宋"/>
          <w:b/>
          <w:bCs/>
          <w:sz w:val="32"/>
          <w:szCs w:val="32"/>
        </w:rPr>
        <w:t>一是</w:t>
      </w:r>
      <w:r>
        <w:rPr>
          <w:rFonts w:hint="eastAsia" w:ascii="仿宋_GB2312" w:hAnsi="仿宋_GB2312" w:eastAsia="仿宋_GB2312" w:cs="仿宋"/>
          <w:sz w:val="32"/>
          <w:szCs w:val="21"/>
        </w:rPr>
        <w:t>应将</w:t>
      </w:r>
      <w:r>
        <w:rPr>
          <w:rFonts w:hint="eastAsia" w:ascii="仿宋_GB2312" w:hAnsi="仿宋" w:eastAsia="仿宋_GB2312" w:cs="仿宋"/>
          <w:sz w:val="32"/>
          <w:szCs w:val="32"/>
        </w:rPr>
        <w:t>人工挖孔桩施工</w:t>
      </w:r>
      <w:r>
        <w:rPr>
          <w:rFonts w:ascii="仿宋_GB2312" w:hAnsi="仿宋_GB2312" w:eastAsia="仿宋_GB2312" w:cs="仿宋"/>
          <w:sz w:val="32"/>
          <w:szCs w:val="21"/>
        </w:rPr>
        <w:t>辨识</w:t>
      </w:r>
      <w:r>
        <w:rPr>
          <w:rFonts w:hint="eastAsia" w:ascii="仿宋_GB2312" w:hAnsi="仿宋_GB2312" w:eastAsia="仿宋_GB2312" w:cs="仿宋"/>
          <w:sz w:val="32"/>
          <w:szCs w:val="21"/>
        </w:rPr>
        <w:t>为</w:t>
      </w:r>
      <w:r>
        <w:rPr>
          <w:rFonts w:ascii="仿宋_GB2312" w:hAnsi="仿宋_GB2312" w:eastAsia="仿宋_GB2312" w:cs="仿宋"/>
          <w:sz w:val="32"/>
          <w:szCs w:val="21"/>
        </w:rPr>
        <w:t>施工现场有限空间，</w:t>
      </w:r>
      <w:r>
        <w:rPr>
          <w:rFonts w:hint="eastAsia" w:ascii="仿宋_GB2312" w:hAnsi="仿宋_GB2312" w:eastAsia="仿宋_GB2312" w:cs="仿宋"/>
          <w:sz w:val="32"/>
          <w:szCs w:val="21"/>
        </w:rPr>
        <w:t>且</w:t>
      </w:r>
      <w:r>
        <w:rPr>
          <w:rFonts w:ascii="仿宋_GB2312" w:hAnsi="仿宋_GB2312" w:eastAsia="仿宋_GB2312" w:cs="仿宋"/>
          <w:sz w:val="32"/>
          <w:szCs w:val="21"/>
        </w:rPr>
        <w:t>在显著位置设置警示标志</w:t>
      </w:r>
      <w:r>
        <w:rPr>
          <w:rFonts w:hint="eastAsia" w:ascii="仿宋_GB2312" w:hAnsi="仿宋_GB2312" w:eastAsia="仿宋_GB2312" w:cs="仿宋"/>
          <w:sz w:val="32"/>
          <w:szCs w:val="21"/>
        </w:rPr>
        <w:t>；</w:t>
      </w:r>
      <w:r>
        <w:rPr>
          <w:rFonts w:hint="eastAsia" w:ascii="仿宋_GB2312" w:hAnsi="仿宋_GB2312" w:eastAsia="仿宋_GB2312" w:cs="仿宋"/>
          <w:b/>
          <w:bCs/>
          <w:sz w:val="32"/>
          <w:szCs w:val="21"/>
        </w:rPr>
        <w:t>二是严格按</w:t>
      </w:r>
      <w:r>
        <w:rPr>
          <w:rFonts w:hint="eastAsia" w:ascii="仿宋_GB2312" w:hAnsi="仿宋_GB2312" w:eastAsia="仿宋_GB2312" w:cs="仿宋"/>
          <w:sz w:val="32"/>
          <w:szCs w:val="21"/>
        </w:rPr>
        <w:t>有限空间作业要求履行“作业审批制度”，并对施工作业人员进行专项安全教育培训与交底，</w:t>
      </w:r>
      <w:r>
        <w:rPr>
          <w:rFonts w:ascii="仿宋_GB2312" w:hAnsi="仿宋_GB2312" w:eastAsia="仿宋_GB2312" w:cs="仿宋"/>
          <w:sz w:val="32"/>
          <w:szCs w:val="21"/>
        </w:rPr>
        <w:t>执行“先通风、再检测、后作业”原则；</w:t>
      </w:r>
      <w:r>
        <w:rPr>
          <w:rFonts w:hint="eastAsia" w:ascii="仿宋_GB2312" w:hAnsi="仿宋_GB2312" w:eastAsia="仿宋_GB2312" w:cs="仿宋"/>
          <w:b/>
          <w:bCs/>
          <w:sz w:val="32"/>
          <w:szCs w:val="21"/>
        </w:rPr>
        <w:t>三是</w:t>
      </w:r>
      <w:r>
        <w:rPr>
          <w:rFonts w:hint="eastAsia" w:ascii="仿宋_GB2312" w:hAnsi="仿宋_GB2312" w:eastAsia="仿宋_GB2312" w:cs="仿宋"/>
          <w:sz w:val="32"/>
          <w:szCs w:val="21"/>
        </w:rPr>
        <w:t>有限空间作业时现场应专人负责监护工作，全程有专职安全生产管理人员现场监督；</w:t>
      </w:r>
      <w:r>
        <w:rPr>
          <w:rFonts w:hint="eastAsia" w:ascii="仿宋_GB2312" w:hAnsi="仿宋_GB2312" w:eastAsia="仿宋_GB2312" w:cs="仿宋"/>
          <w:b/>
          <w:bCs/>
          <w:sz w:val="32"/>
          <w:szCs w:val="21"/>
        </w:rPr>
        <w:t>四是</w:t>
      </w:r>
      <w:r>
        <w:rPr>
          <w:rFonts w:hint="eastAsia" w:ascii="仿宋_GB2312" w:hAnsi="仿宋_GB2312" w:eastAsia="仿宋_GB2312" w:cs="仿宋"/>
          <w:sz w:val="32"/>
          <w:szCs w:val="21"/>
        </w:rPr>
        <w:t>有限空间作业现场应配备必要的气体检测、机械通风、呼吸防护及应急救援设施设备。</w:t>
      </w:r>
    </w:p>
    <w:p w14:paraId="1D58232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w:t>
      </w:r>
      <w:r>
        <w:rPr>
          <w:rFonts w:hint="eastAsia" w:ascii="仿宋_GB2312" w:hAnsi="仿宋" w:eastAsia="仿宋_GB2312" w:cs="仿宋"/>
          <w:sz w:val="32"/>
          <w:szCs w:val="32"/>
          <w:lang w:eastAsia="zh"/>
        </w:rPr>
        <w:t>.防物体打击措施：</w:t>
      </w:r>
      <w:r>
        <w:rPr>
          <w:rFonts w:hint="eastAsia" w:ascii="仿宋_GB2312" w:hAnsi="仿宋" w:eastAsia="仿宋_GB2312" w:cs="仿宋"/>
          <w:b/>
          <w:bCs/>
          <w:sz w:val="32"/>
          <w:szCs w:val="32"/>
        </w:rPr>
        <w:t>一是</w:t>
      </w:r>
      <w:r>
        <w:rPr>
          <w:rFonts w:ascii="仿宋_GB2312" w:hAnsi="仿宋" w:eastAsia="仿宋_GB2312" w:cs="仿宋"/>
          <w:sz w:val="32"/>
          <w:szCs w:val="32"/>
        </w:rPr>
        <w:t>吊运物料时使用合格吊具，吊斗或吊桶</w:t>
      </w:r>
      <w:r>
        <w:rPr>
          <w:rFonts w:hint="eastAsia" w:ascii="仿宋_GB2312" w:hAnsi="仿宋" w:eastAsia="仿宋_GB2312" w:cs="仿宋"/>
          <w:sz w:val="32"/>
          <w:szCs w:val="32"/>
        </w:rPr>
        <w:t>，并</w:t>
      </w:r>
      <w:r>
        <w:rPr>
          <w:rFonts w:ascii="仿宋_GB2312" w:hAnsi="仿宋" w:eastAsia="仿宋_GB2312" w:cs="仿宋"/>
          <w:sz w:val="32"/>
          <w:szCs w:val="32"/>
        </w:rPr>
        <w:t>严格控制吊运物料的装载量，防止物料在提升过程中洒落</w:t>
      </w:r>
      <w:r>
        <w:rPr>
          <w:rFonts w:hint="eastAsia" w:ascii="仿宋_GB2312" w:hAnsi="仿宋" w:eastAsia="仿宋_GB2312" w:cs="仿宋"/>
          <w:sz w:val="32"/>
          <w:szCs w:val="32"/>
        </w:rPr>
        <w:t>，严禁人员</w:t>
      </w:r>
      <w:r>
        <w:rPr>
          <w:rFonts w:ascii="仿宋_GB2312" w:hAnsi="仿宋" w:eastAsia="仿宋_GB2312" w:cs="仿宋"/>
          <w:sz w:val="32"/>
          <w:szCs w:val="32"/>
        </w:rPr>
        <w:t>处于吊运物正下方</w:t>
      </w:r>
      <w:r>
        <w:rPr>
          <w:rFonts w:hint="eastAsia" w:ascii="仿宋_GB2312" w:hAnsi="仿宋" w:eastAsia="仿宋_GB2312" w:cs="仿宋"/>
          <w:sz w:val="32"/>
          <w:szCs w:val="32"/>
        </w:rPr>
        <w:t>作业。</w:t>
      </w:r>
      <w:r>
        <w:rPr>
          <w:rFonts w:hint="eastAsia" w:ascii="仿宋_GB2312" w:hAnsi="仿宋" w:eastAsia="仿宋_GB2312" w:cs="仿宋"/>
          <w:b/>
          <w:bCs/>
          <w:sz w:val="32"/>
          <w:szCs w:val="32"/>
        </w:rPr>
        <w:t>二是</w:t>
      </w:r>
      <w:r>
        <w:rPr>
          <w:rFonts w:hint="eastAsia" w:ascii="仿宋_GB2312" w:hAnsi="仿宋" w:eastAsia="仿宋_GB2312" w:cs="仿宋"/>
          <w:sz w:val="32"/>
          <w:szCs w:val="32"/>
        </w:rPr>
        <w:t>施工中的桩孔应设置半圆形安全防护板，</w:t>
      </w:r>
      <w:r>
        <w:rPr>
          <w:rFonts w:ascii="仿宋_GB2312" w:hAnsi="仿宋" w:eastAsia="仿宋_GB2312" w:cs="仿宋"/>
          <w:sz w:val="32"/>
          <w:szCs w:val="32"/>
        </w:rPr>
        <w:t>随挖孔深度下移固定，为井下作业人员提供上方防护</w:t>
      </w:r>
      <w:r>
        <w:rPr>
          <w:rFonts w:hint="eastAsia" w:ascii="仿宋_GB2312" w:hAnsi="仿宋" w:eastAsia="仿宋_GB2312" w:cs="仿宋"/>
          <w:sz w:val="32"/>
          <w:szCs w:val="32"/>
        </w:rPr>
        <w:t>。</w:t>
      </w:r>
    </w:p>
    <w:p w14:paraId="59490BCC">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w:t>
      </w:r>
      <w:r>
        <w:rPr>
          <w:rFonts w:hint="eastAsia" w:ascii="仿宋_GB2312" w:hAnsi="仿宋" w:eastAsia="仿宋_GB2312" w:cs="仿宋"/>
          <w:sz w:val="32"/>
          <w:szCs w:val="32"/>
          <w:lang w:eastAsia="zh"/>
        </w:rPr>
        <w:t>防止触电措施</w:t>
      </w:r>
      <w:r>
        <w:rPr>
          <w:rFonts w:hint="eastAsia" w:ascii="仿宋_GB2312" w:hAnsi="仿宋" w:eastAsia="仿宋_GB2312" w:cs="仿宋"/>
          <w:sz w:val="32"/>
          <w:szCs w:val="32"/>
        </w:rPr>
        <w:t>：</w:t>
      </w:r>
      <w:r>
        <w:rPr>
          <w:rFonts w:hint="eastAsia" w:ascii="仿宋_GB2312" w:hAnsi="仿宋" w:eastAsia="仿宋_GB2312" w:cs="仿宋"/>
          <w:b/>
          <w:bCs/>
          <w:sz w:val="32"/>
          <w:szCs w:val="32"/>
        </w:rPr>
        <w:t>一是</w:t>
      </w:r>
      <w:r>
        <w:rPr>
          <w:rFonts w:ascii="仿宋_GB2312" w:hAnsi="仿宋" w:eastAsia="仿宋_GB2312" w:cs="仿宋"/>
          <w:sz w:val="32"/>
          <w:szCs w:val="32"/>
          <w:lang w:eastAsia="zh"/>
        </w:rPr>
        <w:t>用电设备（如潜水泵、照明灯具、电动工具等）必须严格接零</w:t>
      </w:r>
      <w:r>
        <w:rPr>
          <w:rFonts w:hint="eastAsia" w:ascii="仿宋_GB2312" w:hAnsi="仿宋" w:eastAsia="仿宋_GB2312" w:cs="仿宋"/>
          <w:sz w:val="32"/>
          <w:szCs w:val="32"/>
        </w:rPr>
        <w:t>保护</w:t>
      </w:r>
      <w:r>
        <w:rPr>
          <w:rFonts w:ascii="仿宋_GB2312" w:hAnsi="仿宋" w:eastAsia="仿宋_GB2312" w:cs="仿宋"/>
          <w:sz w:val="32"/>
          <w:szCs w:val="32"/>
          <w:lang w:eastAsia="zh"/>
        </w:rPr>
        <w:t>，并安装漏电保护器，漏电保护器的动作电流一般不超过15mA</w:t>
      </w:r>
      <w:r>
        <w:rPr>
          <w:rFonts w:hint="eastAsia" w:ascii="仿宋_GB2312" w:hAnsi="仿宋" w:eastAsia="仿宋_GB2312" w:cs="仿宋"/>
          <w:sz w:val="32"/>
          <w:szCs w:val="32"/>
        </w:rPr>
        <w:t>，动作时间不超过0.1s，定期检查漏电保护器的有效性，防止损坏、失效。</w:t>
      </w:r>
      <w:r>
        <w:rPr>
          <w:rFonts w:hint="eastAsia" w:ascii="仿宋_GB2312" w:hAnsi="仿宋" w:eastAsia="仿宋_GB2312" w:cs="仿宋"/>
          <w:b/>
          <w:bCs/>
          <w:sz w:val="32"/>
          <w:szCs w:val="32"/>
        </w:rPr>
        <w:t>二是</w:t>
      </w:r>
      <w:r>
        <w:rPr>
          <w:rFonts w:hint="eastAsia" w:ascii="仿宋_GB2312" w:hAnsi="仿宋" w:eastAsia="仿宋_GB2312" w:cs="仿宋"/>
          <w:sz w:val="32"/>
          <w:szCs w:val="32"/>
          <w:lang w:eastAsia="zh"/>
        </w:rPr>
        <w:t>孔内照明使用12V及以下安全电压，采用防水防尘带罩灯具，电缆线为中间无接头的三芯防水绝缘电缆，避免漏电风险</w:t>
      </w:r>
      <w:r>
        <w:rPr>
          <w:rFonts w:ascii="仿宋_GB2312" w:hAnsi="仿宋" w:eastAsia="仿宋_GB2312" w:cs="仿宋"/>
          <w:sz w:val="32"/>
          <w:szCs w:val="32"/>
          <w:lang w:eastAsia="zh"/>
        </w:rPr>
        <w:t>。</w:t>
      </w:r>
    </w:p>
    <w:p w14:paraId="62566447">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（五）场地排水与地下水管控</w:t>
      </w:r>
    </w:p>
    <w:p w14:paraId="2751E976">
      <w:pPr>
        <w:spacing w:line="56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rPr>
        <w:t>人工挖孔桩施工现场及四周应按要求设置好截水沟、排水沟、集水井、降水井等，形成完整的有组织排水系统，杜绝雨水、场地积水倒灌桩孔以及浸泡孔壁、软化周边土体导致塌孔。</w:t>
      </w:r>
    </w:p>
    <w:p w14:paraId="0C761C67">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（六）文明施工与环保管控</w:t>
      </w:r>
    </w:p>
    <w:p w14:paraId="2A2C484D">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项目部应制定扬尘管控措施，</w:t>
      </w:r>
      <w:r>
        <w:rPr>
          <w:rFonts w:hint="eastAsia" w:ascii="仿宋_GB2312" w:hAnsi="仿宋" w:eastAsia="仿宋_GB2312" w:cs="仿宋"/>
          <w:sz w:val="32"/>
          <w:szCs w:val="32"/>
          <w:lang w:eastAsia="zh"/>
        </w:rPr>
        <w:t>制定</w:t>
      </w:r>
      <w:r>
        <w:rPr>
          <w:rFonts w:hint="eastAsia" w:ascii="仿宋_GB2312" w:hAnsi="仿宋" w:eastAsia="仿宋_GB2312" w:cs="仿宋"/>
          <w:sz w:val="32"/>
          <w:szCs w:val="32"/>
        </w:rPr>
        <w:t>弃土</w:t>
      </w:r>
      <w:r>
        <w:rPr>
          <w:rFonts w:hint="eastAsia" w:ascii="仿宋_GB2312" w:hAnsi="仿宋" w:eastAsia="仿宋_GB2312" w:cs="仿宋"/>
          <w:sz w:val="32"/>
          <w:szCs w:val="32"/>
          <w:lang w:eastAsia="zh"/>
        </w:rPr>
        <w:t>和</w:t>
      </w:r>
      <w:r>
        <w:rPr>
          <w:rFonts w:hint="eastAsia" w:ascii="仿宋_GB2312" w:hAnsi="仿宋" w:eastAsia="仿宋_GB2312" w:cs="仿宋"/>
          <w:sz w:val="32"/>
          <w:szCs w:val="32"/>
        </w:rPr>
        <w:t>泥浆</w:t>
      </w:r>
      <w:r>
        <w:rPr>
          <w:rFonts w:hint="eastAsia" w:ascii="仿宋_GB2312" w:hAnsi="仿宋" w:eastAsia="仿宋_GB2312" w:cs="仿宋"/>
          <w:sz w:val="32"/>
          <w:szCs w:val="32"/>
          <w:lang w:eastAsia="zh"/>
        </w:rPr>
        <w:t>的处理方案</w:t>
      </w:r>
      <w:r>
        <w:rPr>
          <w:rFonts w:hint="eastAsia" w:ascii="仿宋_GB2312" w:hAnsi="仿宋" w:eastAsia="仿宋_GB2312" w:cs="仿宋"/>
          <w:sz w:val="32"/>
          <w:szCs w:val="32"/>
        </w:rPr>
        <w:t>，确保施工过程符合文明施工和环保要求。</w:t>
      </w:r>
    </w:p>
    <w:p w14:paraId="7FDE843E">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（七）应急救援管理</w:t>
      </w:r>
    </w:p>
    <w:p w14:paraId="1684294D">
      <w:pPr>
        <w:spacing w:line="56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rPr>
        <w:t>项目部应结合人工挖孔桩施工风险特点，编制针对性的应急救援预案，明确应急组织机构、应急响应流程、应急处置措施、应急物资配备和应急人员职责，确保突发事故能够及时、有效处置，</w:t>
      </w:r>
      <w:r>
        <w:rPr>
          <w:rFonts w:hint="eastAsia" w:ascii="仿宋_GB2312" w:hAnsi="仿宋" w:eastAsia="仿宋_GB2312" w:cs="仿宋"/>
          <w:sz w:val="32"/>
          <w:szCs w:val="32"/>
          <w:lang w:eastAsia="zh"/>
        </w:rPr>
        <w:t>并定期组织演练，保存演练记录和照片。</w:t>
      </w:r>
    </w:p>
    <w:p w14:paraId="67311C4D">
      <w:pPr>
        <w:spacing w:line="560" w:lineRule="exact"/>
        <w:ind w:firstLine="640" w:firstLineChars="200"/>
        <w:rPr>
          <w:rFonts w:hint="eastAsia" w:ascii="黑体" w:hAnsi="黑体" w:eastAsia="黑体" w:cs="仿宋"/>
          <w:sz w:val="32"/>
          <w:szCs w:val="32"/>
          <w:lang w:eastAsia="zh"/>
        </w:rPr>
      </w:pPr>
      <w:r>
        <w:rPr>
          <w:rFonts w:hint="eastAsia" w:ascii="黑体" w:hAnsi="黑体" w:eastAsia="黑体" w:cs="仿宋"/>
          <w:sz w:val="32"/>
          <w:szCs w:val="32"/>
        </w:rPr>
        <w:t>三</w:t>
      </w:r>
      <w:r>
        <w:rPr>
          <w:rFonts w:hint="eastAsia" w:ascii="黑体" w:hAnsi="黑体" w:eastAsia="黑体" w:cs="仿宋"/>
          <w:sz w:val="32"/>
          <w:szCs w:val="32"/>
          <w:lang w:eastAsia="zh"/>
        </w:rPr>
        <w:t>、常见问题</w:t>
      </w:r>
    </w:p>
    <w:p w14:paraId="6217B20D">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 桩护壁混凝土未按配合比施工，搅拌不均匀，强度及厚度达不到设计和规范要求，导致护壁承载力不足，易引发塌孔；</w:t>
      </w:r>
    </w:p>
    <w:p w14:paraId="42169522">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 护壁不按设计配筋，或将钢筋混凝土护壁擅自修改为砖护壁甚至不进行护壁，违反专项方案和规范要求，存在严重坍塌隐患；</w:t>
      </w:r>
    </w:p>
    <w:p w14:paraId="77640F37">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 孔口护壁采用砖砌筑，砖护壁强度低、整体性差，不能有效抵御土体侧压力，易导致孔口坍塌；</w:t>
      </w:r>
    </w:p>
    <w:p w14:paraId="54A8B75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 孔口不覆盖或覆盖不严密，未设置牢固的盖板，易发生人员坠落、物体掉落入孔事故；</w:t>
      </w:r>
    </w:p>
    <w:p w14:paraId="678DDF37">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 作业人员下孔前未执行“先通风、再检测、后作业”原则，未进行气体检测或检测不合格擅自进入孔内作业，易引发中毒、窒息事故；</w:t>
      </w:r>
    </w:p>
    <w:p w14:paraId="48B928AE">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 不按规范进行跳挖施工，相邻桩同时开挖，桩净距不足，导致土体扰动，易引发塌孔；</w:t>
      </w:r>
    </w:p>
    <w:p w14:paraId="025A840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7. 应急救援器材未配置在施工现场，或配置不全、失效，突发事故时不能及时开展救援工作；</w:t>
      </w:r>
    </w:p>
    <w:p w14:paraId="65882B87">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8. 施工区域道路不通畅，渣土运输困难，易导致弃土堆积，同时影响应急救援车辆通行；</w:t>
      </w:r>
    </w:p>
    <w:p w14:paraId="33FAC738">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9. 孔内照明未使用12V及以下安全电压，电缆线破损、未做防水处理，存在触电隐患；</w:t>
      </w:r>
    </w:p>
    <w:p w14:paraId="36B96C69">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10. 吊运物料时使用不合格吊具，或人员在吊运物正下方作业，易发生物体打击事故；</w:t>
      </w:r>
    </w:p>
    <w:p w14:paraId="0280D369">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11. 弃土堆放在孔口1m范围内，堆载过大，或机动车辆靠近孔口通行，挤压井壁导致塌孔；</w:t>
      </w:r>
    </w:p>
    <w:p w14:paraId="233B1FC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12. 有限空间作业未办理作业许可证，监护人员擅自离岗，存在安全隐患；</w:t>
      </w:r>
    </w:p>
    <w:p w14:paraId="2E3E53A9">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13. 泥浆未按方案进行处理，随意排放，污染周边环境；</w:t>
      </w:r>
    </w:p>
    <w:p w14:paraId="281C406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14. 应急救援演练未定期开展，或演练流于形式，施工人员应急处置能力不足。</w:t>
      </w:r>
    </w:p>
    <w:p w14:paraId="5EDE95BD">
      <w:pPr>
        <w:widowControl/>
        <w:jc w:val="left"/>
        <w:rPr>
          <w:rFonts w:hint="eastAsia" w:ascii="方正小标宋简体" w:hAnsi="方正小标宋简体" w:eastAsia="方正小标宋简体" w:cs="仿宋"/>
          <w:bCs/>
          <w:sz w:val="36"/>
          <w:szCs w:val="36"/>
        </w:rPr>
      </w:pPr>
      <w:r>
        <w:rPr>
          <w:rFonts w:hint="eastAsia"/>
        </w:rPr>
        <w:br w:type="page"/>
      </w:r>
    </w:p>
    <w:p w14:paraId="1C235EF6">
      <w:pPr>
        <w:pStyle w:val="2"/>
        <w:spacing w:after="120" w:afterLines="50"/>
        <w:rPr>
          <w:rFonts w:hint="eastAsia"/>
        </w:rPr>
      </w:pPr>
      <w:r>
        <w:rPr>
          <w:rFonts w:hint="eastAsia"/>
        </w:rPr>
        <w:t>基坑及边坡工程安全监督交底（盛越）</w:t>
      </w:r>
    </w:p>
    <w:p w14:paraId="13FEBB0B">
      <w:pPr>
        <w:spacing w:line="560" w:lineRule="exact"/>
        <w:ind w:firstLine="640" w:firstLineChars="200"/>
        <w:rPr>
          <w:rFonts w:hint="eastAsia" w:ascii="黑体" w:hAnsi="黑体" w:eastAsia="黑体" w:cs="仿宋"/>
          <w:kern w:val="0"/>
          <w:sz w:val="32"/>
          <w:szCs w:val="32"/>
        </w:rPr>
      </w:pPr>
      <w:r>
        <w:rPr>
          <w:rFonts w:hint="eastAsia" w:ascii="黑体" w:hAnsi="黑体" w:eastAsia="黑体" w:cs="仿宋"/>
          <w:kern w:val="0"/>
          <w:sz w:val="32"/>
          <w:szCs w:val="32"/>
        </w:rPr>
        <w:t>一、主要依据</w:t>
      </w:r>
    </w:p>
    <w:p w14:paraId="2E5A46E6">
      <w:pPr>
        <w:spacing w:line="560" w:lineRule="exact"/>
        <w:ind w:firstLine="640" w:firstLineChars="200"/>
        <w:rPr>
          <w:rFonts w:hint="eastAsia" w:ascii="黑体" w:hAnsi="黑体" w:eastAsia="黑体" w:cs="仿宋"/>
          <w:kern w:val="0"/>
          <w:sz w:val="32"/>
          <w:szCs w:val="32"/>
          <w:lang w:eastAsia="zh"/>
        </w:rPr>
      </w:pP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建筑与市政地基基础通用规范</w:t>
      </w: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GB 55003-2021）</w:t>
      </w:r>
      <w:r>
        <w:rPr>
          <w:rFonts w:hint="eastAsia" w:ascii="仿宋_GB2312" w:hAnsi="仿宋" w:eastAsia="仿宋_GB2312" w:cs="仿宋"/>
          <w:kern w:val="0"/>
          <w:sz w:val="32"/>
          <w:szCs w:val="32"/>
        </w:rPr>
        <w:t>《建筑与市政施工现场安全卫生与职业健康通用规范》（</w:t>
      </w:r>
      <w:r>
        <w:rPr>
          <w:rFonts w:hint="eastAsia" w:ascii="仿宋_GB2312" w:hAnsi="仿宋" w:eastAsia="仿宋_GB2312" w:cs="仿宋"/>
          <w:kern w:val="0"/>
          <w:sz w:val="32"/>
          <w:szCs w:val="32"/>
          <w:lang w:eastAsia="zh"/>
        </w:rPr>
        <w:t>GB 55034-2022</w:t>
      </w: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《建筑施工土石方工程安全技术规范》（JGJ180—2009）《建筑基坑支护技术规程》（JGJ120—2012）《建筑深基坑工程施工安全技术规范》（JGJ311—2013）</w:t>
      </w: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建筑边坡工程技术规范</w:t>
      </w: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GB50330-2013</w:t>
      </w: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《建筑基坑工程监测技术规范》（GB50497—2019）《建筑施工安全检查标准》（JGJ59—2011）《市政工程施工安全检查标准》（CJJ/T275—2018）《房屋市政工程生产安全重大事故隐患判定标准（2024版）》</w:t>
      </w:r>
      <w:r>
        <w:rPr>
          <w:rFonts w:hint="eastAsia" w:ascii="仿宋_GB2312" w:hAnsi="仿宋" w:eastAsia="仿宋_GB2312" w:cs="仿宋"/>
          <w:kern w:val="0"/>
          <w:sz w:val="32"/>
          <w:szCs w:val="32"/>
        </w:rPr>
        <w:t>《危险性较大的分部分项工程安全管理规定》（住房城乡建设部令第37号）《住房城乡建设部办公厅关于实施〈危险性较大的分部分项工程安全管理规定〉有关问题的通知》（建办质〔2018〕31号）《住房和城乡建设部办公厅关于印发危险性较大的分部分项工程专项施工方案编制指南的通知》（建办质〔2021〕48号）《住房城乡建设部办公厅关于印发〈危险性较大的分部分项工程专项施工方案严重缺陷清单（试行）〉的通知》（建办质〔2024〕63号）《湖南省住房和城乡建设厅关于加强房屋市政工程开工安全生产条件审查的通知》（湘建建〔2024〕124 号）</w:t>
      </w:r>
      <w:r>
        <w:rPr>
          <w:rFonts w:hint="eastAsia" w:ascii="仿宋_GB2312" w:hAnsi="仿宋" w:eastAsia="仿宋_GB2312" w:cs="仿宋"/>
          <w:kern w:val="0"/>
          <w:sz w:val="32"/>
          <w:szCs w:val="32"/>
          <w:lang w:eastAsia="zh"/>
        </w:rPr>
        <w:t>等</w:t>
      </w:r>
      <w:r>
        <w:rPr>
          <w:rFonts w:hint="eastAsia" w:ascii="仿宋_GB2312" w:hAnsi="仿宋" w:eastAsia="仿宋_GB2312" w:cs="仿宋"/>
          <w:kern w:val="0"/>
          <w:sz w:val="32"/>
          <w:szCs w:val="32"/>
        </w:rPr>
        <w:t>相关</w:t>
      </w:r>
      <w:r>
        <w:rPr>
          <w:rFonts w:hint="eastAsia" w:ascii="仿宋_GB2312" w:hAnsi="仿宋" w:eastAsia="仿宋_GB2312" w:cs="仿宋"/>
          <w:kern w:val="0"/>
          <w:sz w:val="32"/>
          <w:szCs w:val="32"/>
          <w:lang w:eastAsia="zh"/>
        </w:rPr>
        <w:t>规定。</w:t>
      </w:r>
    </w:p>
    <w:p w14:paraId="585EBE58">
      <w:pPr>
        <w:spacing w:line="560" w:lineRule="exact"/>
        <w:ind w:firstLine="640" w:firstLineChars="200"/>
        <w:rPr>
          <w:rFonts w:hint="eastAsia" w:ascii="黑体" w:hAnsi="黑体" w:eastAsia="黑体" w:cs="仿宋"/>
          <w:kern w:val="0"/>
          <w:sz w:val="32"/>
          <w:szCs w:val="32"/>
        </w:rPr>
      </w:pPr>
      <w:r>
        <w:rPr>
          <w:rFonts w:hint="eastAsia" w:ascii="黑体" w:hAnsi="黑体" w:eastAsia="黑体" w:cs="仿宋"/>
          <w:kern w:val="0"/>
          <w:sz w:val="32"/>
          <w:szCs w:val="32"/>
        </w:rPr>
        <w:t>二、管控重点</w:t>
      </w:r>
    </w:p>
    <w:p w14:paraId="45B9192C">
      <w:pPr>
        <w:spacing w:line="560" w:lineRule="exact"/>
        <w:ind w:firstLine="640" w:firstLineChars="200"/>
        <w:rPr>
          <w:rFonts w:hint="eastAsia" w:ascii="黑体" w:hAnsi="黑体" w:eastAsia="黑体" w:cs="仿宋"/>
          <w:kern w:val="0"/>
          <w:sz w:val="32"/>
          <w:szCs w:val="32"/>
        </w:rPr>
      </w:pPr>
      <w:r>
        <w:rPr>
          <w:rFonts w:hint="eastAsia" w:ascii="黑体" w:hAnsi="黑体" w:eastAsia="黑体" w:cs="仿宋"/>
          <w:kern w:val="0"/>
          <w:sz w:val="32"/>
          <w:szCs w:val="32"/>
        </w:rPr>
        <w:t>（一）基坑工程</w:t>
      </w:r>
    </w:p>
    <w:p w14:paraId="690799B4">
      <w:pPr>
        <w:spacing w:line="560" w:lineRule="exact"/>
        <w:ind w:firstLine="640" w:firstLineChars="200"/>
        <w:rPr>
          <w:rFonts w:hint="eastAsia" w:ascii="仿宋_GB2312" w:hAnsi="仿宋" w:eastAsia="仿宋_GB2312" w:cs="仿宋"/>
          <w:kern w:val="0"/>
          <w:sz w:val="32"/>
          <w:szCs w:val="32"/>
        </w:rPr>
      </w:pPr>
      <w:r>
        <w:rPr>
          <w:rFonts w:hint="eastAsia" w:ascii="黑体" w:hAnsi="黑体" w:eastAsia="黑体" w:cs="仿宋"/>
          <w:kern w:val="0"/>
          <w:sz w:val="32"/>
          <w:szCs w:val="32"/>
        </w:rPr>
        <w:t>1.</w:t>
      </w:r>
      <w:r>
        <w:rPr>
          <w:rFonts w:hint="eastAsia" w:ascii="仿宋_GB2312" w:hAnsi="仿宋" w:eastAsia="仿宋_GB2312" w:cs="仿宋"/>
          <w:kern w:val="0"/>
          <w:sz w:val="32"/>
          <w:szCs w:val="32"/>
        </w:rPr>
        <w:t>建设单位应在勘察前对基坑附近的建筑物、构筑物、道路、地下管线等现状，以及同期建设的相邻建设工程施工情况进行调查，调查资料应及时提供给有关单位。</w:t>
      </w:r>
    </w:p>
    <w:p w14:paraId="63A07DBB">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2.建设单位应严格按相关规定委托具有相应资质的勘察单位对基坑工程进行现场勘察，勘察报告应提出深基坑支护和地下水控制方法的建议，预测基坑开挖过程中可能出现的问题，并提出防治措施等。</w:t>
      </w:r>
    </w:p>
    <w:p w14:paraId="1F046BF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设计单位应在设计文件中提出保障工程周边环境安全和工程施工安全的意见，必要时进行专项设计。深基坑工程施工图设计文件未经施工图审查合格的，不得施工（依据住建部《房屋建筑和市政基础设施工程施工图设计文件审查管理办法》）。</w:t>
      </w:r>
    </w:p>
    <w:p w14:paraId="07AFA8D2">
      <w:pPr>
        <w:spacing w:line="560" w:lineRule="exact"/>
        <w:ind w:firstLine="640" w:firstLineChars="200"/>
        <w:rPr>
          <w:rFonts w:ascii="仿宋_GB2312" w:hAnsi="仿宋" w:cs="仿宋"/>
          <w:kern w:val="0"/>
          <w:sz w:val="32"/>
          <w:szCs w:val="32"/>
        </w:rPr>
      </w:pPr>
      <w:r>
        <w:rPr>
          <w:rFonts w:hint="eastAsia" w:ascii="仿宋_GB2312" w:hAnsi="仿宋" w:eastAsia="仿宋_GB2312" w:cs="仿宋"/>
          <w:kern w:val="0"/>
          <w:sz w:val="32"/>
          <w:szCs w:val="32"/>
        </w:rPr>
        <w:t>4.开挖深度超过3m或虽未超过3m但地质条件和周边环境复杂的土方开挖、基坑支护及降水工程，属危险性较大的分部分项工程范围，应单独编制专项施工方案，专项施工方案应按规定进行审核、审批。开挖深度超过5m的土方开挖、基坑支护及降水工程，或开挖深度虽未超过5m但地质条件、周围环境复杂的土方开挖、基坑支护及降水工程，属超过一定规模的危险性较大的分部分项工程范围，其专项施工方案，除按正常程序审核、审批外，应组织专家对方案进行论证。专项施工方案编制应按照《危险性较大的分部分项工程专项施工方案编制指南》要求进行编制。</w:t>
      </w:r>
    </w:p>
    <w:p w14:paraId="78EC46F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5.开挖前，建设单位应委托具有资质的第三方监测单位机构实施基坑监测。第三方监测单位应编制监测方案，并按规定进行审核、审批，监测方案必须明确监测项目、监测对象、监测频率、监测点的布置与保护、监测报警值和异常及危险情况下的监测措施等。对施工安全等级为一级的基坑工程，应对基坑监测方案进行专家评审。</w:t>
      </w:r>
    </w:p>
    <w:p w14:paraId="1B6A96C5">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6.地质条件良好、土质均匀且无地下水的自然放坡的坡率应符合专项施工方案和规范要求。</w:t>
      </w:r>
    </w:p>
    <w:p w14:paraId="6326C9EC">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7.基坑支护结构必须经设计计算确定，基坑支护结构施工应符合设计要求。</w:t>
      </w:r>
    </w:p>
    <w:p w14:paraId="621D5213">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8.开挖时，应根据设计和施工方案进行基坑监测，当监测结果达到监测预警值时，应立即停止开挖，采取有效措施后方可继续施工。</w:t>
      </w:r>
    </w:p>
    <w:p w14:paraId="19E29FF6">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9.基坑开挖深度范围内有地下水，应采取有效的降排水措施，以确保正常施工。深基坑降水施工应分层降水，随时观测支护外观测井水位，防止邻近建筑物等变形。</w:t>
      </w:r>
    </w:p>
    <w:p w14:paraId="261F59EA">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10.</w:t>
      </w:r>
      <w:r>
        <w:rPr>
          <w:rFonts w:ascii="仿宋_GB2312" w:hAnsi="仿宋" w:eastAsia="仿宋_GB2312" w:cs="仿宋"/>
          <w:kern w:val="0"/>
          <w:sz w:val="32"/>
          <w:szCs w:val="32"/>
        </w:rPr>
        <w:t>基坑边沿周围地面应设置排水沟；放坡开挖时，应对坡顶、坡面、坡脚采取降排水措施。深基坑边界上部必须设有排水沟，以防止雨水进入基坑。</w:t>
      </w:r>
    </w:p>
    <w:p w14:paraId="1BC92CAB">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11.基坑底四周应按专项施工方案设置排水沟和集水井，并应及时排除积水。</w:t>
      </w:r>
    </w:p>
    <w:p w14:paraId="0FC35A9D">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12.基坑支护结构必须在达到设计要求的强度后，方可开挖下层土方，严禁提前开挖和超挖。</w:t>
      </w:r>
    </w:p>
    <w:p w14:paraId="5477FF3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13.基坑开挖应遵循“开槽支撑，先撑后挖，分层开挖，严禁超挖”原则，按设计和方案要求分层、分段、均衡开挖，开挖过程中需防止碰撞支护结构、工程桩或扰动基底原状土，机械作业时人员不得进入机械作业半径范围。基坑开挖后应及时进行地下结构工程施工，严禁基坑长时间暴露。</w:t>
      </w:r>
    </w:p>
    <w:p w14:paraId="1A87CEE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14.当施工机械在软土场地作业时，应采取铺设渣土、铺垫钢板等硬化措施，防止机械发生倾覆事故。</w:t>
      </w:r>
    </w:p>
    <w:p w14:paraId="671A5F65">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15.施工机械应与基坑边保持安全距离并符合设计要求，基坑周边堆放材料、停放设备设施或使用机械设备等荷载严禁超过设计要求的地面荷载限值。</w:t>
      </w:r>
    </w:p>
    <w:p w14:paraId="79CA84D9">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16.开挖深度超过2m的基坑周边应设置防护栏杆，栏杆应加挂密目安全网和挡脚板。基坑内应设置供施工人员上下的专用梯道，并设置扶手栏杆，梯道宽度不应小于1m。</w:t>
      </w:r>
    </w:p>
    <w:p w14:paraId="69576CE5">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17.降水口应设置防护盖或围栏，并应设置明显的警示标志。</w:t>
      </w:r>
    </w:p>
    <w:p w14:paraId="59F974F7">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18.基坑支撑结构的拆除方式、拆除顺序应符合专项施工方案的要求。采用机械拆除时，施工荷载应小于支撑结构的承载能力；人工拆除时，应按规定设置防护设施。</w:t>
      </w:r>
    </w:p>
    <w:p w14:paraId="52091786">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19.上下垂直作业应按规定采取有效的防护措施。</w:t>
      </w:r>
    </w:p>
    <w:p w14:paraId="41D849D2">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20.在电力管线、通信管线、燃气管线周边2m范围内及上下水管线lm范围内挖土时，应采取安全防护措施，并应专人监护。</w:t>
      </w:r>
    </w:p>
    <w:p w14:paraId="2194C479">
      <w:pPr>
        <w:spacing w:line="560" w:lineRule="exact"/>
        <w:ind w:firstLine="640" w:firstLineChars="200"/>
        <w:rPr>
          <w:rFonts w:hint="eastAsia" w:ascii="微软雅黑" w:hAnsi="微软雅黑" w:eastAsia="微软雅黑" w:cs="微软雅黑"/>
          <w:color w:val="333333"/>
          <w:sz w:val="8"/>
          <w:szCs w:val="8"/>
          <w:shd w:val="clear" w:color="auto" w:fill="FFFFFF"/>
        </w:rPr>
      </w:pPr>
      <w:r>
        <w:rPr>
          <w:rFonts w:hint="eastAsia" w:ascii="仿宋_GB2312" w:hAnsi="仿宋" w:eastAsia="仿宋_GB2312" w:cs="仿宋"/>
          <w:kern w:val="0"/>
          <w:sz w:val="32"/>
          <w:szCs w:val="32"/>
        </w:rPr>
        <w:t>21.在基坑工程施工前，建设单位应组织勘察、设计、施工、监理和监测等单位进行基坑工程施工条件验收。基坑土方开挖及地下结构施工过程中，每个工序施工结束后，应对该工序的施工质量进行检查，合格后方可进入下道施工工序。对预计超过设计使用年限的基坑工程应提前进行安全评估和设计复核，当设计复核不满足安全指标要求时，应及时进行加固处理。</w:t>
      </w:r>
    </w:p>
    <w:p w14:paraId="63421EDC">
      <w:pPr>
        <w:spacing w:line="560" w:lineRule="exact"/>
        <w:ind w:firstLine="640" w:firstLineChars="200"/>
        <w:rPr>
          <w:rFonts w:hint="eastAsia" w:ascii="黑体" w:hAnsi="黑体" w:eastAsia="黑体" w:cs="仿宋"/>
          <w:kern w:val="0"/>
          <w:sz w:val="32"/>
          <w:szCs w:val="32"/>
        </w:rPr>
      </w:pPr>
      <w:r>
        <w:rPr>
          <w:rFonts w:hint="eastAsia" w:ascii="黑体" w:hAnsi="黑体" w:eastAsia="黑体" w:cs="仿宋"/>
          <w:kern w:val="0"/>
          <w:sz w:val="32"/>
          <w:szCs w:val="32"/>
        </w:rPr>
        <w:t>（二）管道沟槽</w:t>
      </w:r>
    </w:p>
    <w:p w14:paraId="7AA6D40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1.施工前全面勘察，明确地下管线（如供水、供电、燃气、通信等）位置、埋深及走向，联系权属单位确认并设置警示标识。</w:t>
      </w:r>
    </w:p>
    <w:p w14:paraId="6D2034C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2.参照基坑工程要求编制专项施工方案，深度超过5米或地质条件复杂的沟槽需组织专家论证。</w:t>
      </w:r>
    </w:p>
    <w:p w14:paraId="0794BCD7">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3.沟槽开挖应严格按设计和专项施工方案要求进行支护，采取放坡开挖时，放坡坡度应满足设计要求。</w:t>
      </w:r>
    </w:p>
    <w:p w14:paraId="701D26CB">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沟槽每侧临时堆土或施加其他荷载时,不得影响建（构）筑物、各种管线和其他设施的安全；不得掩埋消火栓、管道闸阀、雨水口、测量标志以及各种地下管道的井盖，且不得妨碍其正常使用；堆土距沟槽边缘不小于0.8m，沟槽边堆置土方不得超过设计堆置高度且高度不得超过1.5m；。</w:t>
      </w:r>
    </w:p>
    <w:p w14:paraId="29663DC5">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5.吊装管道时，设置专人指挥，吊物下方严禁站人，作业前检查吊具、索具的完好性，确保吊装过程平稳。</w:t>
      </w:r>
    </w:p>
    <w:p w14:paraId="525C8A8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6.开挖至设计基底标高后，及时清理基底的浮土、杂物、淤泥及积水，若基底存在淤泥、流沙等不良土层，需换填级配砂石或素混凝土。</w:t>
      </w:r>
    </w:p>
    <w:p w14:paraId="433A4BD5">
      <w:pPr>
        <w:spacing w:line="560" w:lineRule="exact"/>
        <w:ind w:firstLine="640" w:firstLineChars="200"/>
        <w:rPr>
          <w:rFonts w:hint="eastAsia" w:ascii="仿宋_GB2312" w:hAnsi="仿宋" w:eastAsia="仿宋_GB2312" w:cs="仿宋"/>
          <w:color w:val="FF0000"/>
          <w:kern w:val="0"/>
          <w:sz w:val="32"/>
          <w:szCs w:val="32"/>
        </w:rPr>
      </w:pPr>
      <w:r>
        <w:rPr>
          <w:rFonts w:hint="eastAsia" w:ascii="仿宋_GB2312" w:hAnsi="仿宋" w:eastAsia="仿宋_GB2312" w:cs="仿宋"/>
          <w:kern w:val="0"/>
          <w:sz w:val="32"/>
          <w:szCs w:val="32"/>
        </w:rPr>
        <w:t>7.</w:t>
      </w:r>
      <w:r>
        <w:rPr>
          <w:rFonts w:hint="eastAsia" w:ascii="仿宋_GB2312" w:hAnsi="仿宋" w:eastAsia="仿宋_GB2312" w:cs="仿宋"/>
          <w:color w:val="FF0000"/>
          <w:kern w:val="0"/>
          <w:sz w:val="32"/>
          <w:szCs w:val="32"/>
        </w:rPr>
        <w:t>人工开挖的狭窄基槽，开挖深度较大并存在边坡塌方危险时，必须采取支护措施，支护结构应有足够的稳定性。</w:t>
      </w:r>
    </w:p>
    <w:p w14:paraId="2E7C0378">
      <w:pPr>
        <w:spacing w:line="560" w:lineRule="exact"/>
        <w:ind w:firstLine="640" w:firstLineChars="200"/>
        <w:rPr>
          <w:rFonts w:hint="eastAsia" w:ascii="黑体" w:hAnsi="黑体" w:eastAsia="黑体" w:cs="仿宋"/>
          <w:kern w:val="0"/>
          <w:sz w:val="32"/>
          <w:szCs w:val="32"/>
        </w:rPr>
      </w:pPr>
      <w:r>
        <w:rPr>
          <w:rFonts w:hint="eastAsia" w:ascii="黑体" w:hAnsi="黑体" w:eastAsia="黑体" w:cs="仿宋"/>
          <w:kern w:val="0"/>
          <w:sz w:val="32"/>
          <w:szCs w:val="32"/>
        </w:rPr>
        <w:t>（三）边坡工程</w:t>
      </w:r>
    </w:p>
    <w:p w14:paraId="669DEB4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开挖前，施工单位应编制专项施工方案及应急预案，属于地质和环境条件复杂、稳定性极差的一级边坡工程，或边坡塌滑区有重要建（构）筑物、稳定性较差的边坡工程，或超过30m高度的岩质边坡和超过15m高度的土质边坡工程，施工单位应对专项施工方案组织专家论证。</w:t>
      </w:r>
    </w:p>
    <w:p w14:paraId="535911E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对土石方开挖后不稳定或欠稳定的边坡，应根据边坡的地质特征和可能发生的破坏方式等情况，采取自上而下、分段跳槽、及时支护的逆作法或部分逆作法施工。未经设计许可严禁大开挖、爆破作业。边坡工程开挖后应及时按设计实施支护结构施工或采取封闭措施。</w:t>
      </w:r>
    </w:p>
    <w:p w14:paraId="1B11EEAB">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 边坡塌滑区有重要建(构)筑物的一级边坡工程施工时必须对坡顶水平位移、垂直位移、地表裂缝和坡顶建(构)筑物变形进行监测。</w:t>
      </w:r>
    </w:p>
    <w:p w14:paraId="19FDDEBB">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边坡工程应由设计提出监测项目和要求，由建设单位委托有资质的监测单位编制监测方案，监测方案应包括监测项目、监测目的、监测方法、测点布置、监测项目报警值和信息反馈制度等内容，经设计、监理和建设单位等共同认可后实施。</w:t>
      </w:r>
    </w:p>
    <w:p w14:paraId="3B565FC9">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5.不得在边坡潜在塌滑区超量堆载。</w:t>
      </w:r>
    </w:p>
    <w:p w14:paraId="7BA5702B">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6.边坡工程的临时性排水措施应满足地下水、暴雨和施工用水等的排放要求，有条件时宜结合边坡工程的永久性排水措施进行。</w:t>
      </w:r>
    </w:p>
    <w:p w14:paraId="14CD0CC6">
      <w:pPr>
        <w:spacing w:line="560" w:lineRule="exact"/>
        <w:ind w:firstLine="640" w:firstLineChars="200"/>
        <w:rPr>
          <w:rFonts w:hint="eastAsia" w:ascii="黑体" w:hAnsi="黑体" w:eastAsia="黑体" w:cs="仿宋"/>
          <w:kern w:val="0"/>
          <w:sz w:val="32"/>
          <w:szCs w:val="32"/>
        </w:rPr>
      </w:pPr>
      <w:r>
        <w:rPr>
          <w:rFonts w:hint="eastAsia" w:ascii="黑体" w:hAnsi="黑体" w:eastAsia="黑体" w:cs="仿宋"/>
          <w:kern w:val="0"/>
          <w:sz w:val="32"/>
          <w:szCs w:val="32"/>
        </w:rPr>
        <w:t>三、常见问题</w:t>
      </w:r>
    </w:p>
    <w:p w14:paraId="196FB1D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1.支护结构问题：如未按设计和专项施工方案及时施作支护结构，存在“先挖后撑”，或支撑间距过大，使支护刚度不足，增加基坑失稳风险；未达到设计规定的支撑拆除条件，提前拆除支撑等。</w:t>
      </w:r>
    </w:p>
    <w:p w14:paraId="6D05670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土方开挖问题：如未按设计和施工方案要求分层、分段开挖，开挖面坡率过大或开挖不均衡，甚至垂直开挖，导致土体局部失稳；存在土方超挖，破坏土体受力平衡，增加基坑变形和坍塌风险；开挖顺序、方法与设计工况不一致等。</w:t>
      </w:r>
    </w:p>
    <w:p w14:paraId="034D8787">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3.坑边荷载问题：如边坡坡顶、基坑边堆置土、料具等荷载超过设计允许值，或施工机械在坑边作业时安全距离不足，导致基坑水平变形过大，甚至坍塌。</w:t>
      </w:r>
    </w:p>
    <w:p w14:paraId="50550AC0">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4.排水降水问题：如基坑开挖深度范围内有地下水未采取有效降排水措施，引发基坑底滑移；基坑顶、坑底未设置排水沟或排水沟堵塞，地表水流入基坑，造成坑内土体泡水软化，影响支护结构嵌固深度等。</w:t>
      </w:r>
    </w:p>
    <w:p w14:paraId="698A573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5.安全防护问题：基坑周边未按规范要求设置防护栏杆或栏杆设置不符合规范；未设置施工人员上下基坑的专用楼梯或梯道设置不规范，人员易采用不安全方式上下基坑；降水井口未设置防护盖板或围栏等。</w:t>
      </w:r>
    </w:p>
    <w:p w14:paraId="7B41E127">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6.监测与预警问题：未按要求对基坑及边坡工程进行监测，监测频率不满足要求，监测点破坏，导致未及时掌握支护结构变形、周边沉降等关键数据；监测数据超过预警值或出现基坑、周边建（构）筑物、管线失稳破坏征兆时，未立即停止作业并采取应急措施。</w:t>
      </w:r>
    </w:p>
    <w:p w14:paraId="29678A22">
      <w:pPr>
        <w:rPr>
          <w:rFonts w:hint="eastAsia" w:ascii="仿宋_GB2312" w:hAnsi="仿宋" w:eastAsia="仿宋_GB2312" w:cs="仿宋"/>
          <w:b/>
          <w:sz w:val="32"/>
          <w:szCs w:val="32"/>
        </w:rPr>
      </w:pPr>
      <w:r>
        <w:rPr>
          <w:rFonts w:hint="eastAsia" w:ascii="仿宋_GB2312" w:hAnsi="仿宋" w:eastAsia="仿宋_GB2312" w:cs="仿宋"/>
          <w:b/>
          <w:sz w:val="32"/>
          <w:szCs w:val="32"/>
        </w:rPr>
        <w:br w:type="page"/>
      </w:r>
    </w:p>
    <w:p w14:paraId="042B02A9">
      <w:pPr>
        <w:ind w:firstLine="1920" w:firstLineChars="600"/>
        <w:rPr>
          <w:rFonts w:hint="eastAsia" w:ascii="黑体" w:hAnsi="黑体" w:eastAsia="黑体" w:cs="黑体"/>
          <w:bCs/>
          <w:sz w:val="32"/>
        </w:rPr>
      </w:pPr>
      <w:r>
        <w:rPr>
          <w:rFonts w:hint="eastAsia" w:ascii="黑体" w:hAnsi="黑体" w:eastAsia="黑体" w:cs="黑体"/>
          <w:bCs/>
          <w:sz w:val="32"/>
        </w:rPr>
        <w:t>矿山法隧道施工安全监督交底</w:t>
      </w:r>
      <w:r>
        <w:rPr>
          <w:rFonts w:ascii="黑体" w:hAnsi="黑体" w:eastAsia="黑体" w:cs="黑体"/>
          <w:bCs/>
          <w:sz w:val="32"/>
        </w:rPr>
        <w:t>(</w:t>
      </w:r>
      <w:r>
        <w:rPr>
          <w:rFonts w:hint="eastAsia" w:ascii="黑体" w:hAnsi="黑体" w:eastAsia="黑体" w:cs="黑体"/>
          <w:bCs/>
          <w:sz w:val="32"/>
        </w:rPr>
        <w:t>程磊</w:t>
      </w:r>
      <w:r>
        <w:rPr>
          <w:rFonts w:ascii="黑体" w:hAnsi="黑体" w:eastAsia="黑体" w:cs="黑体"/>
          <w:bCs/>
          <w:sz w:val="32"/>
        </w:rPr>
        <w:t>)</w:t>
      </w:r>
    </w:p>
    <w:p w14:paraId="0111CBBD">
      <w:pPr>
        <w:numPr>
          <w:ilvl w:val="0"/>
          <w:numId w:val="3"/>
        </w:numPr>
        <w:spacing w:line="560" w:lineRule="exact"/>
        <w:ind w:firstLine="643" w:firstLineChars="200"/>
        <w:rPr>
          <w:rFonts w:hint="eastAsia" w:ascii="仿宋" w:hAnsi="仿宋" w:eastAsia="仿宋" w:cs="仿宋"/>
          <w:sz w:val="32"/>
          <w:szCs w:val="32"/>
        </w:rPr>
      </w:pPr>
      <w:r>
        <w:rPr>
          <w:rFonts w:hint="eastAsia" w:ascii="仿宋" w:hAnsi="仿宋" w:eastAsia="仿宋" w:cs="仿宋"/>
          <w:b/>
          <w:bCs/>
          <w:sz w:val="32"/>
          <w:szCs w:val="32"/>
        </w:rPr>
        <w:t>主要依据</w:t>
      </w:r>
    </w:p>
    <w:p w14:paraId="22C1C9E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《危险性较大的分部分项工程安全管理规定》（住房城乡建设部令第37号）、《建筑与市政地基基础通用规范》（GB 55003-2021）《建筑施工土石方工程安全技术规范》（JGJ 180-2009）《建筑与市政工程施工现场临时用电安全技术标准》（JGJ/T 46-2024）、《建筑机械使用安全技术规程》（JGJ 33-2012）《地下铁道工程施工质量验收标准》（GB/T 50299-2018）《爆破安全规程》（GB 6722-2014）《房屋市政工程生产安全重大事故隐患判定标准（2024版）》《城市轨道交通工程质量安全检查指南》（建质〔2016〕173号）《城市轨道交通工程关键节点风险管控指南》（建办质〔2017〕68号）《住房城乡建设部办公厅关于实施&lt;危险性较大的分部分项工程安全管理规定&gt;有关问题的通知》（建办质〔2018〕31号）</w:t>
      </w:r>
      <w:r>
        <w:rPr>
          <w:rFonts w:hint="eastAsia" w:ascii="仿宋" w:hAnsi="仿宋" w:eastAsia="仿宋" w:cs="仿宋"/>
          <w:color w:val="FF0000"/>
          <w:sz w:val="32"/>
          <w:szCs w:val="32"/>
        </w:rPr>
        <w:t>《湖南省建筑工程开工安全生产条件审查制度》</w:t>
      </w:r>
      <w:r>
        <w:rPr>
          <w:rFonts w:hint="eastAsia" w:ascii="仿宋" w:hAnsi="仿宋" w:eastAsia="仿宋" w:cs="仿宋"/>
          <w:sz w:val="32"/>
          <w:szCs w:val="32"/>
        </w:rPr>
        <w:t>《湖南省住房和城乡建设厅关于加强房屋市政工程开工安全生产条件审查的通知》（湘建建〔2024〕124号）等现行规范标准及管理规定。</w:t>
      </w:r>
    </w:p>
    <w:p w14:paraId="7F6C991C">
      <w:pPr>
        <w:numPr>
          <w:ilvl w:val="0"/>
          <w:numId w:val="3"/>
        </w:num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管控重点</w:t>
      </w:r>
    </w:p>
    <w:p w14:paraId="043AB0DD">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（一）施工准备</w:t>
      </w:r>
    </w:p>
    <w:p w14:paraId="5A9FB68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暗挖工程施工前，应依据工程勘察报告及设计文件，对工程地质、水文地质条件开展现场核对与补充调查；对隧道影响范围内的建（构）筑物、地下管线、道路、桥梁等周边环境进行详细调查及现状评估，形成正式书面调查报告。针对周边环境制定专项保护方案，经相关产权单位或管理单位书面确认后实施。</w:t>
      </w:r>
    </w:p>
    <w:p w14:paraId="3C29FAE9">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（二）方案编制</w:t>
      </w:r>
      <w:r>
        <w:rPr>
          <w:rFonts w:hint="eastAsia" w:ascii="仿宋" w:hAnsi="仿宋" w:eastAsia="仿宋" w:cs="仿宋"/>
          <w:sz w:val="32"/>
          <w:szCs w:val="32"/>
        </w:rPr>
        <w:br w:type="textWrapping"/>
      </w:r>
      <w:r>
        <w:rPr>
          <w:rFonts w:hint="eastAsia" w:ascii="仿宋" w:hAnsi="仿宋" w:eastAsia="仿宋" w:cs="仿宋"/>
          <w:sz w:val="32"/>
          <w:szCs w:val="32"/>
        </w:rPr>
        <w:t xml:space="preserve">    施工单位应编制专项施工方案，核心内容应涵盖：施工临建、竖井及横通道开挖与支护、矿山法隧道开挖与支护、超前地质预报、隧道监测、隧道测量、地下水控制（降排水）、地层超前支护及加固、二次衬砌、模板工程及支撑体系、临时用电、联络通道、应急救援预案等。对于超过一定规模的危险性较大的分部分项工程（如开挖深度超过5m的竖井、暗挖隧道开挖与支护、爆破工程等），必须组织专家进行专项施工方案论证，依据论证报告修改完善后，按程序审批实施。</w:t>
      </w:r>
    </w:p>
    <w:p w14:paraId="318B9A62">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（三）条件核查</w:t>
      </w:r>
      <w:r>
        <w:rPr>
          <w:rFonts w:hint="eastAsia" w:ascii="仿宋" w:hAnsi="仿宋" w:eastAsia="仿宋" w:cs="仿宋"/>
          <w:sz w:val="32"/>
          <w:szCs w:val="32"/>
        </w:rPr>
        <w:br w:type="textWrapping"/>
      </w:r>
      <w:r>
        <w:rPr>
          <w:rFonts w:hint="eastAsia" w:ascii="仿宋" w:hAnsi="仿宋" w:eastAsia="仿宋" w:cs="仿宋"/>
          <w:sz w:val="32"/>
          <w:szCs w:val="32"/>
        </w:rPr>
        <w:t xml:space="preserve">    关键工序施工前，由建设单位组织监理、施工、勘察、设计、第三方监测等单位开展施工条件核查，形成书面核查记录，核查未通过的，严禁进入下一道工序施工。关键节点包括但不限于：竖井开挖、马头门（横通道与正洞连接处）施工、多导洞施工扣拱开挖、开挖大断面临时支护拆除、穿越重大风险或复杂环境（如既有线、重要建筑物、河流等）联络通道开口施工、采用钻爆法的首次爆破作业等。</w:t>
      </w:r>
    </w:p>
    <w:p w14:paraId="53AE5DFE">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（四）地质预报</w:t>
      </w:r>
      <w:r>
        <w:rPr>
          <w:rFonts w:hint="eastAsia" w:ascii="仿宋" w:hAnsi="仿宋" w:eastAsia="仿宋" w:cs="仿宋"/>
          <w:sz w:val="32"/>
          <w:szCs w:val="32"/>
        </w:rPr>
        <w:br w:type="textWrapping"/>
      </w:r>
      <w:r>
        <w:rPr>
          <w:rFonts w:hint="eastAsia" w:ascii="仿宋" w:hAnsi="仿宋" w:eastAsia="仿宋" w:cs="仿宋"/>
          <w:sz w:val="32"/>
          <w:szCs w:val="32"/>
        </w:rPr>
        <w:t xml:space="preserve">    隧道开挖前必须实施超前地质预报，根据地质复杂程度分级选择预报方法，包括但不限于地质雷达法、TSP地震波法、超前水平钻探法、加深炮孔法、地质素描法等，探明前方地质条件及不良地质体的位置、规模。超前地质预报成果应经勘察、设计、施工、监理单位联合审核，作为施工方案调整、支护参数优化的直接依据；发现不良地质，应立即暂停开挖，制定专项处置方案并审批后方可实施。</w:t>
      </w:r>
    </w:p>
    <w:p w14:paraId="6358C28C">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（五）隧道开挖</w:t>
      </w:r>
    </w:p>
    <w:p w14:paraId="5F2C5690">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严格遵循“管超前、严注浆、短开挖、强支护、早封闭、勤量测”施工原则，按设计工法（如台阶法、CD法、CRD法、双侧壁导坑法等）及批准的施工步序组织施工，循环进尺严格按设计文件及规范要求控制，软弱围岩段循环进尺不得大于1.5m</w:t>
      </w:r>
    </w:p>
    <w:p w14:paraId="4301CD1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 xml:space="preserve"> 2.</w:t>
      </w:r>
      <w:r>
        <w:rPr>
          <w:rFonts w:ascii="Calibri" w:hAnsi="Calibri" w:eastAsia="仿宋" w:cs="Calibri"/>
          <w:sz w:val="32"/>
          <w:szCs w:val="32"/>
        </w:rPr>
        <w:t> </w:t>
      </w:r>
      <w:r>
        <w:rPr>
          <w:rFonts w:hint="eastAsia" w:ascii="仿宋" w:hAnsi="仿宋" w:eastAsia="仿宋" w:cs="仿宋"/>
          <w:sz w:val="32"/>
          <w:szCs w:val="32"/>
        </w:rPr>
        <w:t>多导洞施工时，各工作面应保持设计规定的安全错距；严格控制安全步距（以设计文件及图纸要求为核心依据），超过安全步距时，必须停止掌子面开挖，及时跟进仰拱及二次衬砌施工，掌子面与初期支护封闭成环的距离不得超出设计限值。</w:t>
      </w:r>
    </w:p>
    <w:p w14:paraId="3726ECF0">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w:t>
      </w:r>
      <w:r>
        <w:rPr>
          <w:rFonts w:ascii="Calibri" w:hAnsi="Calibri" w:eastAsia="仿宋" w:cs="Calibri"/>
          <w:sz w:val="32"/>
          <w:szCs w:val="32"/>
        </w:rPr>
        <w:t> </w:t>
      </w:r>
      <w:r>
        <w:rPr>
          <w:rFonts w:hint="eastAsia" w:ascii="仿宋" w:hAnsi="仿宋" w:eastAsia="仿宋" w:cs="仿宋"/>
          <w:sz w:val="32"/>
          <w:szCs w:val="32"/>
        </w:rPr>
        <w:t>隧道相对开挖时，应根据测量精度、围岩稳定情况确定贯通距离；当两工作面距离接近贯通标准时，应加强联络、统一指挥，停止其中一个工作面掘进，由另一端单向掘进贯通。</w:t>
      </w:r>
    </w:p>
    <w:p w14:paraId="6B5C8262">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4.</w:t>
      </w:r>
      <w:r>
        <w:rPr>
          <w:rFonts w:ascii="Calibri" w:hAnsi="Calibri" w:eastAsia="仿宋" w:cs="Calibri"/>
          <w:sz w:val="32"/>
          <w:szCs w:val="32"/>
        </w:rPr>
        <w:t> </w:t>
      </w:r>
      <w:r>
        <w:rPr>
          <w:rFonts w:hint="eastAsia" w:ascii="仿宋" w:hAnsi="仿宋" w:eastAsia="仿宋" w:cs="仿宋"/>
          <w:sz w:val="32"/>
          <w:szCs w:val="32"/>
        </w:rPr>
        <w:t>有限空间作业必须严格执行“先通风、再检测、后作业”原则，全程配备专职监护人员及应急救援器材。</w:t>
      </w:r>
    </w:p>
    <w:p w14:paraId="5702E99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（六）爆破作业</w:t>
      </w:r>
    </w:p>
    <w:p w14:paraId="25C7B5E6">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爆破专项方案必须经专家论证及公安部门审批合格后，严格按审批方案执行；爆破作业单位应于施工前3天发布公告，装药前1天发布爆破公告。</w:t>
      </w:r>
    </w:p>
    <w:p w14:paraId="7999F7F1">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爆破作业人员（爆破员、保管员、安全员等）必须持有效特种作业操作证上岗。</w:t>
      </w:r>
    </w:p>
    <w:p w14:paraId="22C9CC0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w:t>
      </w:r>
      <w:r>
        <w:rPr>
          <w:rFonts w:ascii="Calibri" w:hAnsi="Calibri" w:eastAsia="仿宋" w:cs="Calibri"/>
          <w:sz w:val="32"/>
          <w:szCs w:val="32"/>
        </w:rPr>
        <w:t> </w:t>
      </w:r>
      <w:r>
        <w:rPr>
          <w:rFonts w:hint="eastAsia" w:ascii="仿宋" w:hAnsi="仿宋" w:eastAsia="仿宋" w:cs="仿宋"/>
          <w:sz w:val="32"/>
          <w:szCs w:val="32"/>
        </w:rPr>
        <w:t>爆破器材的购买、运输、储存、领用、清退等环节，必须严格执行国家及地方相关规定，建立全过程视频监控及双人双锁管理制度；现场临时存储点应经公安部门验收，设置防静电球，作业人员须经泄放静电后方可操作。</w:t>
      </w:r>
    </w:p>
    <w:p w14:paraId="32A48BD9">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4.</w:t>
      </w:r>
      <w:r>
        <w:rPr>
          <w:rFonts w:ascii="Calibri" w:hAnsi="Calibri" w:eastAsia="仿宋" w:cs="Calibri"/>
          <w:sz w:val="32"/>
          <w:szCs w:val="32"/>
        </w:rPr>
        <w:t> </w:t>
      </w:r>
      <w:r>
        <w:rPr>
          <w:rFonts w:hint="eastAsia" w:ascii="仿宋" w:hAnsi="仿宋" w:eastAsia="仿宋" w:cs="仿宋"/>
          <w:sz w:val="32"/>
          <w:szCs w:val="32"/>
        </w:rPr>
        <w:t>严禁钻孔与装药平行作业，严禁套打残眼；装药时应采用PVC软质材料推送药卷，严禁使用铁质器具。</w:t>
      </w:r>
    </w:p>
    <w:p w14:paraId="6D95C7DD">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5.</w:t>
      </w:r>
      <w:r>
        <w:rPr>
          <w:rFonts w:ascii="Calibri" w:hAnsi="Calibri" w:eastAsia="仿宋" w:cs="Calibri"/>
          <w:sz w:val="32"/>
          <w:szCs w:val="32"/>
        </w:rPr>
        <w:t> </w:t>
      </w:r>
      <w:r>
        <w:rPr>
          <w:rFonts w:hint="eastAsia" w:ascii="仿宋" w:hAnsi="仿宋" w:eastAsia="仿宋" w:cs="仿宋"/>
          <w:sz w:val="32"/>
          <w:szCs w:val="32"/>
        </w:rPr>
        <w:t>爆破前必须划定警戒区，疏散警戒范围内人员及机械设备，确认安全后方可起爆；起爆前应填写《爆破安全联动通知单》和《施工爆破三检表》。</w:t>
      </w:r>
    </w:p>
    <w:p w14:paraId="262166CB">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6.</w:t>
      </w:r>
      <w:r>
        <w:rPr>
          <w:rFonts w:ascii="Calibri" w:hAnsi="Calibri" w:eastAsia="仿宋" w:cs="Calibri"/>
          <w:sz w:val="32"/>
          <w:szCs w:val="32"/>
        </w:rPr>
        <w:t> </w:t>
      </w:r>
      <w:r>
        <w:rPr>
          <w:rFonts w:hint="eastAsia" w:ascii="仿宋" w:hAnsi="仿宋" w:eastAsia="仿宋" w:cs="仿宋"/>
          <w:sz w:val="32"/>
          <w:szCs w:val="32"/>
        </w:rPr>
        <w:t>爆破后须进行机械通风排烟，等待时间不得少于15分钟，经检查确认无盲炮、有害气体浓度达标后，方可进入工作面作业；发现盲炮时，必须由原爆破人员按规定处理，确认安全后方可解除警戒。</w:t>
      </w:r>
    </w:p>
    <w:p w14:paraId="6A7136C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（七）初期支护</w:t>
      </w:r>
    </w:p>
    <w:p w14:paraId="1450A4D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超前管棚、小导管等超前支护的材质、长度、间距、外插角及注浆压力、注浆量等参数，必须符合设计文件及专项方案要求。</w:t>
      </w:r>
    </w:p>
    <w:p w14:paraId="74D015A1">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型钢、钢格栅、钢筋网片等支护材料及安装符合设计及规范要求，钢架栓接板密贴、螺栓孔机械成孔，连接牢固。</w:t>
      </w:r>
    </w:p>
    <w:p w14:paraId="6DDABFAA">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w:t>
      </w:r>
      <w:r>
        <w:rPr>
          <w:rFonts w:ascii="Calibri" w:hAnsi="Calibri" w:eastAsia="仿宋" w:cs="Calibri"/>
          <w:sz w:val="32"/>
          <w:szCs w:val="32"/>
        </w:rPr>
        <w:t> </w:t>
      </w:r>
      <w:r>
        <w:rPr>
          <w:rFonts w:hint="eastAsia" w:ascii="仿宋" w:hAnsi="仿宋" w:eastAsia="仿宋" w:cs="仿宋"/>
          <w:sz w:val="32"/>
          <w:szCs w:val="32"/>
        </w:rPr>
        <w:t>钢架架立于原状土（岩），拱墙脚支立牢固，基底不实应预加固；钢架与壁面楔紧，纵向连接筋布设及焊接质量达标。</w:t>
      </w:r>
    </w:p>
    <w:p w14:paraId="7BF7D876">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4.</w:t>
      </w:r>
      <w:r>
        <w:rPr>
          <w:rFonts w:ascii="Calibri" w:hAnsi="Calibri" w:eastAsia="仿宋" w:cs="Calibri"/>
          <w:sz w:val="32"/>
          <w:szCs w:val="32"/>
        </w:rPr>
        <w:t> </w:t>
      </w:r>
      <w:r>
        <w:rPr>
          <w:rFonts w:hint="eastAsia" w:ascii="仿宋" w:hAnsi="仿宋" w:eastAsia="仿宋" w:cs="仿宋"/>
          <w:sz w:val="32"/>
          <w:szCs w:val="32"/>
        </w:rPr>
        <w:t>锚杆（管）材质、规格等符合要求，锁脚锚杆（管）随钢架及时施作，钻孔参数合规、砂浆饱满，外露长度≤100mm，按设计</w:t>
      </w:r>
      <w:r>
        <w:rPr>
          <w:rFonts w:hint="eastAsia" w:ascii="仿宋" w:hAnsi="仿宋" w:eastAsia="仿宋" w:cs="仿宋"/>
          <w:color w:val="FF0000"/>
          <w:sz w:val="32"/>
          <w:szCs w:val="32"/>
        </w:rPr>
        <w:t>要求</w:t>
      </w:r>
      <w:r>
        <w:rPr>
          <w:rFonts w:hint="eastAsia" w:ascii="仿宋" w:hAnsi="仿宋" w:eastAsia="仿宋" w:cs="仿宋"/>
          <w:sz w:val="32"/>
          <w:szCs w:val="32"/>
        </w:rPr>
        <w:t>做拉拔试验。</w:t>
      </w:r>
    </w:p>
    <w:p w14:paraId="6E3822D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5.</w:t>
      </w:r>
      <w:r>
        <w:rPr>
          <w:rFonts w:ascii="Calibri" w:hAnsi="Calibri" w:eastAsia="仿宋" w:cs="Calibri"/>
          <w:sz w:val="32"/>
          <w:szCs w:val="32"/>
        </w:rPr>
        <w:t> </w:t>
      </w:r>
      <w:r>
        <w:rPr>
          <w:rFonts w:hint="eastAsia" w:ascii="仿宋" w:hAnsi="仿宋" w:eastAsia="仿宋" w:cs="仿宋"/>
          <w:sz w:val="32"/>
          <w:szCs w:val="32"/>
        </w:rPr>
        <w:t>喷射混凝土紧跟开挖面施工，与岩面密贴无空洞，操作台架设≥0.8m护栏，作业人员佩戴防尘等防护用品。</w:t>
      </w:r>
    </w:p>
    <w:p w14:paraId="7A9EB686">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6.</w:t>
      </w:r>
      <w:r>
        <w:rPr>
          <w:rFonts w:ascii="Calibri" w:hAnsi="Calibri" w:eastAsia="仿宋" w:cs="Calibri"/>
          <w:sz w:val="32"/>
          <w:szCs w:val="32"/>
        </w:rPr>
        <w:t> </w:t>
      </w:r>
      <w:r>
        <w:rPr>
          <w:rFonts w:hint="eastAsia" w:ascii="仿宋" w:hAnsi="仿宋" w:eastAsia="仿宋" w:cs="仿宋"/>
          <w:sz w:val="32"/>
          <w:szCs w:val="32"/>
        </w:rPr>
        <w:t>注浆孔预埋布设，初支结构达设计强度并封闭成环后做背后回填注浆，压力控制0.3～0.5MPa，注浆后采用雷达扫描或钻孔检测密实度，空洞及时补浆。</w:t>
      </w:r>
    </w:p>
    <w:p w14:paraId="35CD3A13">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7.</w:t>
      </w:r>
      <w:r>
        <w:rPr>
          <w:rFonts w:ascii="Calibri" w:hAnsi="Calibri" w:eastAsia="仿宋" w:cs="Calibri"/>
          <w:sz w:val="32"/>
          <w:szCs w:val="32"/>
        </w:rPr>
        <w:t> </w:t>
      </w:r>
      <w:r>
        <w:rPr>
          <w:rFonts w:hint="eastAsia" w:ascii="仿宋" w:hAnsi="仿宋" w:eastAsia="仿宋" w:cs="仿宋"/>
          <w:sz w:val="32"/>
          <w:szCs w:val="32"/>
        </w:rPr>
        <w:t>初支断面变形侵限时，先注浆加固围岩，达标后按审批方案实施处置。</w:t>
      </w:r>
    </w:p>
    <w:p w14:paraId="1D39CD6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（八）施工运输</w:t>
      </w:r>
    </w:p>
    <w:p w14:paraId="4D8AEFB1">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水平运输车辆（如轨道电瓶车）必须具备有效制动功能，严禁超载、超速行驶及人员与物料混载；轨道端头应设置牢固可靠的车挡装置。</w:t>
      </w:r>
    </w:p>
    <w:p w14:paraId="661A475E">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垂直运输（竖井提升）设备必须经检测合格后方可投入使用，应设置防坠、防过卷等安全保护装置，严禁人员与货物同笼运输。</w:t>
      </w:r>
    </w:p>
    <w:p w14:paraId="1930DAD6">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（九）作业环境</w:t>
      </w:r>
    </w:p>
    <w:p w14:paraId="0247F69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隧道内必须设置双回路电源，且能实现自动切换，备用电源满足施工应急照明、通风等需求；照明电压不得大于36V，特别潮湿场所照明电压不得大于12V。</w:t>
      </w:r>
    </w:p>
    <w:p w14:paraId="1DCCF20D">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必须保障有效的机械通风，风量、风压满足稀释有害气体及粉尘的要求；按规范要求定期检测有毒有害气体浓度，检测频率不少于1次/班。</w:t>
      </w:r>
    </w:p>
    <w:p w14:paraId="5A6EB0B8">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（十）临时支撑拆除</w:t>
      </w:r>
    </w:p>
    <w:p w14:paraId="637E6513">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临时支撑（如中隔壁、临时仰拱）的拆除，必须在初期支护稳定、监测数据满足要求，且二次衬砌结构（或后续支撑体系）达到设计强度后方可实施。</w:t>
      </w:r>
    </w:p>
    <w:p w14:paraId="02F868C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拆除前应进行试验段拆除，遵循“先支后拆、分段、间隔、对称”的拆除原则，拆除过程中应加强监控量测及现场巡视。</w:t>
      </w:r>
    </w:p>
    <w:p w14:paraId="0ED7D909">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（十一）二次衬砌</w:t>
      </w:r>
    </w:p>
    <w:p w14:paraId="09ADD9BC">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仰拱应分段开挖、及时浇筑，与掌子面保持设计规定的安全步距（IV级及以上围岩安全步距不得大于90m）；仰拱浇筑前应清理基底积水、虚渣，浇筑后及时养护，确保尽早封闭</w:t>
      </w:r>
    </w:p>
    <w:p w14:paraId="6D86B2E6">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衬砌台车须经专项设计，其强度、刚度及稳定性应通过设计验算，满足现行规范要求；台车进场后应组织联合验收，移动时须设专人指挥，就位后应可靠锚固；工作平台防护栏杆、防滑梯道应设置齐全，严禁超载使用。</w:t>
      </w:r>
    </w:p>
    <w:p w14:paraId="638A04D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w:t>
      </w:r>
      <w:r>
        <w:rPr>
          <w:rFonts w:ascii="Calibri" w:hAnsi="Calibri" w:eastAsia="仿宋" w:cs="Calibri"/>
          <w:sz w:val="32"/>
          <w:szCs w:val="32"/>
        </w:rPr>
        <w:t> </w:t>
      </w:r>
      <w:r>
        <w:rPr>
          <w:rFonts w:hint="eastAsia" w:ascii="仿宋" w:hAnsi="仿宋" w:eastAsia="仿宋" w:cs="仿宋"/>
          <w:sz w:val="32"/>
          <w:szCs w:val="32"/>
        </w:rPr>
        <w:t>采用满堂支模架时，地基应平整坚实并设置排水措施，立杆底部应设置垫板，按专项方案设置扫地杆、水平杆及剪刀撑，搭设完成后经联合验收合格方可进行混凝土浇筑。</w:t>
      </w:r>
    </w:p>
    <w:p w14:paraId="40E8532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4.</w:t>
      </w:r>
      <w:r>
        <w:rPr>
          <w:rFonts w:ascii="Calibri" w:hAnsi="Calibri" w:eastAsia="仿宋" w:cs="Calibri"/>
          <w:sz w:val="32"/>
          <w:szCs w:val="32"/>
        </w:rPr>
        <w:t> </w:t>
      </w:r>
      <w:r>
        <w:rPr>
          <w:rFonts w:hint="eastAsia" w:ascii="仿宋" w:hAnsi="仿宋" w:eastAsia="仿宋" w:cs="仿宋"/>
          <w:sz w:val="32"/>
          <w:szCs w:val="32"/>
        </w:rPr>
        <w:t>钢筋绑扎应设置稳固的作业平台，2m及以上高处作业人员必须系挂安全带，且高挂低用；混凝土浇筑须分层对称进行，严防偏压导致台车移位或架体失稳；模板拆除时混凝土强度必须达到设计要求，遵循“先支后拆”原则，严禁强行敲打、硬撬及抛掷模板与支架。</w:t>
      </w:r>
    </w:p>
    <w:p w14:paraId="2BCA7E4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5.</w:t>
      </w:r>
      <w:r>
        <w:rPr>
          <w:rFonts w:ascii="Calibri" w:hAnsi="Calibri" w:eastAsia="仿宋" w:cs="Calibri"/>
          <w:sz w:val="32"/>
          <w:szCs w:val="32"/>
        </w:rPr>
        <w:t> </w:t>
      </w:r>
      <w:r>
        <w:rPr>
          <w:rFonts w:hint="eastAsia" w:ascii="仿宋" w:hAnsi="仿宋" w:eastAsia="仿宋" w:cs="仿宋"/>
          <w:sz w:val="32"/>
          <w:szCs w:val="32"/>
        </w:rPr>
        <w:t>防水层铺设前应确保初期支护基面平整、无尖锐杂物；防水板搭接焊接牢固密实，止水带安装位置准确、固定牢固；拱顶在二次衬砌混凝土浇筑完成后7天内进行回填注浆，注浆压力控制在0.2～0.4MPa。</w:t>
      </w:r>
    </w:p>
    <w:p w14:paraId="125AF00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（十二）监控量测</w:t>
      </w:r>
    </w:p>
    <w:p w14:paraId="45B67FDA">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建设单位应委托具备相应资质的第三方监测单位实施监测，施工单位应同步开展施工监测；对施工安全等级为一级的隧道工程，其监测方案应进行专家评审。</w:t>
      </w:r>
    </w:p>
    <w:p w14:paraId="0553A318">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监测方案应明确监测项目（如拱顶沉降、净空收敛、地表沉降、建筑物沉降、地下水位等）、测点布置、监测频率、预警值及控制值。</w:t>
      </w:r>
    </w:p>
    <w:p w14:paraId="74A47B79">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w:t>
      </w:r>
      <w:r>
        <w:rPr>
          <w:rFonts w:ascii="Calibri" w:hAnsi="Calibri" w:eastAsia="仿宋" w:cs="Calibri"/>
          <w:sz w:val="32"/>
          <w:szCs w:val="32"/>
        </w:rPr>
        <w:t> </w:t>
      </w:r>
      <w:r>
        <w:rPr>
          <w:rFonts w:hint="eastAsia" w:ascii="仿宋" w:hAnsi="仿宋" w:eastAsia="仿宋" w:cs="仿宋"/>
          <w:sz w:val="32"/>
          <w:szCs w:val="32"/>
        </w:rPr>
        <w:t>监测数据必须真实、及时、连续；当监测数据达到预警值时，应立即停止施工，分析异常原因，采取有效处置措施后方可继续施工；出现报警或危险征兆时，必须立即启动应急预案。</w:t>
      </w:r>
    </w:p>
    <w:p w14:paraId="6521D428">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（十三）应急处置</w:t>
      </w:r>
    </w:p>
    <w:p w14:paraId="5DD4DE77">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1.施工单位应根据工程风险特点，制定针对坍塌、涌水、瓦斯超限、火灾、有害气体中毒等事故的专项应急预案，配备充足的应急抢险物资及设备，定期组织应急演练，演练频率不少于1次/季度。</w:t>
      </w:r>
      <w:r>
        <w:rPr>
          <w:rFonts w:hint="eastAsia" w:ascii="仿宋" w:hAnsi="仿宋" w:eastAsia="仿宋" w:cs="仿宋"/>
          <w:sz w:val="32"/>
          <w:szCs w:val="32"/>
        </w:rPr>
        <w:br w:type="textWrapping"/>
      </w:r>
      <w:r>
        <w:rPr>
          <w:rFonts w:hint="eastAsia" w:ascii="仿宋" w:hAnsi="仿宋" w:eastAsia="仿宋" w:cs="仿宋"/>
          <w:sz w:val="32"/>
          <w:szCs w:val="32"/>
        </w:rPr>
        <w:t xml:space="preserve">   2.</w:t>
      </w:r>
      <w:r>
        <w:rPr>
          <w:rFonts w:ascii="Calibri" w:hAnsi="Calibri" w:eastAsia="仿宋" w:cs="Calibri"/>
          <w:sz w:val="32"/>
          <w:szCs w:val="32"/>
        </w:rPr>
        <w:t> </w:t>
      </w:r>
      <w:r>
        <w:rPr>
          <w:rFonts w:hint="eastAsia" w:ascii="仿宋" w:hAnsi="仿宋" w:eastAsia="仿宋" w:cs="仿宋"/>
          <w:sz w:val="32"/>
          <w:szCs w:val="32"/>
        </w:rPr>
        <w:t>竖井井口、洞口应设置高度≥1.2m的防护栏杆及封闭式安全门；隧道内应设置应急照明（持续照明时间≥90min）、双向通讯联络装置及宽度≥1.2m的逃生通道，确保应急状态下使用可靠。</w:t>
      </w:r>
    </w:p>
    <w:p w14:paraId="4A677690">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三、常见问题</w:t>
      </w:r>
    </w:p>
    <w:p w14:paraId="7E3C4B66">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1.</w:t>
      </w:r>
      <w:r>
        <w:rPr>
          <w:rFonts w:ascii="Calibri" w:hAnsi="Calibri" w:eastAsia="仿宋" w:cs="Calibri"/>
          <w:color w:val="FF0000"/>
          <w:sz w:val="32"/>
          <w:szCs w:val="32"/>
        </w:rPr>
        <w:t> </w:t>
      </w:r>
      <w:r>
        <w:rPr>
          <w:rFonts w:hint="eastAsia" w:ascii="仿宋" w:hAnsi="仿宋" w:eastAsia="仿宋" w:cs="仿宋"/>
          <w:color w:val="FF0000"/>
          <w:sz w:val="32"/>
          <w:szCs w:val="32"/>
        </w:rPr>
        <w:t>管棚长度不足、角度偏差、注浆不到位，未根据地质调整参数，易引发坍塌和沉降。</w:t>
      </w:r>
    </w:p>
    <w:p w14:paraId="6A258721">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2.掌子面间距过近、步距过长、循环进尺超标、未及时封闭成环，导致结构失稳。</w:t>
      </w:r>
    </w:p>
    <w:p w14:paraId="3CBDFF97">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3.钢架不稳、拱脚悬空、连接筋不足、锁脚锚杆不到位、喷射混凝土厚度或强度不足、不密实或有空洞，未及时注浆。</w:t>
      </w:r>
    </w:p>
    <w:p w14:paraId="60030E55">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4.临时支撑拆除前未试验或论证，拆除顺序错误、未加固或加强监测，易致初支变形或坍塌。</w:t>
      </w:r>
    </w:p>
    <w:p w14:paraId="7049C1D8">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5.爆破方案未审批或不按方案执行，钻孔与装药平行作业，警戒不足，盲炮处理不当，有害气体超标时人员提前进入。</w:t>
      </w:r>
    </w:p>
    <w:p w14:paraId="589E7C0B">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6.监测点不合理、数据失真、频率不足，达到预警值仍不停止施工、不分析处置，形成“带警作业”。</w:t>
      </w:r>
    </w:p>
    <w:p w14:paraId="5309A682">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7.二次衬砌步距超标、背后脱空，台车或支架未验算，模板不牢，防水层施工差，衬砌渗漏，混凝土质量缺陷。</w:t>
      </w:r>
    </w:p>
    <w:p w14:paraId="3445B460">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8. 通风差，气体检测流于形式，有限空间未遵守“先通风再检测后作业”，照明不足，临边防护缺失，运输车辆人料混载或无车挡。</w:t>
      </w:r>
    </w:p>
    <w:p w14:paraId="712596F8">
      <w:pPr>
        <w:pStyle w:val="2"/>
        <w:spacing w:after="120" w:afterLines="50" w:line="560" w:lineRule="exact"/>
        <w:ind w:firstLine="200"/>
        <w:jc w:val="both"/>
        <w:rPr>
          <w:rFonts w:hint="eastAsia" w:ascii="仿宋" w:hAnsi="仿宋" w:eastAsia="仿宋"/>
          <w:sz w:val="32"/>
          <w:szCs w:val="32"/>
        </w:rPr>
      </w:pPr>
      <w:r>
        <w:rPr>
          <w:rFonts w:hint="eastAsia" w:ascii="仿宋" w:hAnsi="仿宋" w:eastAsia="仿宋"/>
          <w:color w:val="FF0000"/>
          <w:sz w:val="32"/>
          <w:szCs w:val="32"/>
        </w:rPr>
        <w:t>9.遇富水地层、断层破碎带、岩溶区时超前探孔不足，未有效注浆或降水，突涌水时未及时封堵反压，易致坍塌和淹井。</w:t>
      </w:r>
    </w:p>
    <w:p w14:paraId="4A1DAEF7">
      <w:pPr>
        <w:widowControl/>
        <w:jc w:val="left"/>
        <w:rPr>
          <w:rFonts w:hint="eastAsia" w:ascii="仿宋" w:hAnsi="仿宋" w:eastAsia="仿宋" w:cs="仿宋"/>
          <w:bCs/>
          <w:sz w:val="30"/>
          <w:szCs w:val="30"/>
        </w:rPr>
      </w:pPr>
      <w:r>
        <w:rPr>
          <w:rFonts w:hint="eastAsia" w:ascii="仿宋" w:hAnsi="仿宋" w:eastAsia="仿宋"/>
          <w:sz w:val="30"/>
          <w:szCs w:val="30"/>
        </w:rPr>
        <w:br w:type="page"/>
      </w:r>
    </w:p>
    <w:p w14:paraId="6FCE11C5">
      <w:pPr>
        <w:spacing w:line="520" w:lineRule="exact"/>
        <w:jc w:val="center"/>
        <w:rPr>
          <w:rFonts w:ascii="宋体" w:hAnsi="宋体" w:cs="宋体"/>
          <w:b/>
          <w:bCs/>
        </w:rPr>
      </w:pPr>
      <w:bookmarkStart w:id="2" w:name="OLE_LINK3"/>
      <w:r>
        <w:rPr>
          <w:rFonts w:hint="eastAsia" w:ascii="方正小标宋简体" w:hAnsi="方正小标宋简体" w:eastAsia="方正小标宋简体" w:cs="仿宋"/>
          <w:sz w:val="36"/>
          <w:szCs w:val="36"/>
        </w:rPr>
        <w:t>围堰工程安全监督交底（杨大鹏）</w:t>
      </w:r>
    </w:p>
    <w:p w14:paraId="4F8C9CD0">
      <w:pPr>
        <w:spacing w:line="52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一、主要依据</w:t>
      </w:r>
    </w:p>
    <w:p w14:paraId="6068C747">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《建筑与市政施工现场安全卫生与职业健康通用规范》（GB 55034-2022） 《钢围堰工程技术标准》（GB/T 51295-2018） 《公路桥涵施工技术规范》（JTG/T 3650-2020） 《建筑施工土石方工程安全技术规范》（JGJ 180-2009）</w:t>
      </w:r>
      <w:r>
        <w:rPr>
          <w:rFonts w:ascii="仿宋_GB2312" w:hAnsi="仿宋" w:eastAsia="仿宋_GB2312" w:cs="仿宋"/>
          <w:sz w:val="32"/>
          <w:szCs w:val="32"/>
        </w:rPr>
        <w:t>《给水排水构筑物工程施工及验收规范》（GB 50141-2008）</w:t>
      </w:r>
      <w:r>
        <w:rPr>
          <w:rFonts w:hint="eastAsia" w:ascii="仿宋_GB2312" w:hAnsi="仿宋" w:eastAsia="仿宋_GB2312" w:cs="仿宋"/>
          <w:sz w:val="32"/>
          <w:szCs w:val="32"/>
        </w:rPr>
        <w:t xml:space="preserve"> 《建筑施工易发事故防治安全标准》（JGJ/T 429-2018） 《建筑基坑工程监测技术标准》（GB 50497-2019） 《建筑施工安全检查标准》（JGJ 59-2011） 《市政工程施工安全检查标准》（CJJ/T 275-2018） 《房屋市政工程生产安全重大事故隐患判定标准（2024版）》 《危险性较大的分部分项工程安全管理规定》（住房城乡建设部令第37号） 《住房和城乡建设部办公厅关于实施&lt;危险性较大的分部分项工程安全管理规定&gt;有关问题的通知》（建办质〔2018〕31号） 《住房和城乡建设部办公厅关于印发危险性较大的分部分项工程专项施工方案编制指南的通知》（建办质〔2021〕48号） 《住房城乡建设部办公厅关于印发&lt;危险性较大的分部分项工程专项施工方案严重缺陷清单（试行）&gt;的通知》（建办质〔2024〕63号） 《湖南省住房和城乡建设厅关于加强房屋市政工程开工安全生产条件审查的通知》（湘建建〔2024〕124号） 设计文件、地勘报告、专项施工方案及专家论证意见 </w:t>
      </w:r>
    </w:p>
    <w:p w14:paraId="2EB1E854">
      <w:pPr>
        <w:spacing w:line="52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 xml:space="preserve">二、管控重点 </w:t>
      </w:r>
    </w:p>
    <w:p w14:paraId="7A2AA9D1">
      <w:pPr>
        <w:spacing w:line="520" w:lineRule="exact"/>
        <w:ind w:firstLine="643" w:firstLineChars="200"/>
        <w:rPr>
          <w:rFonts w:ascii="Segoe UI" w:hAnsi="Segoe UI" w:eastAsia="Segoe UI" w:cs="Segoe UI"/>
          <w:color w:val="800080"/>
          <w:szCs w:val="21"/>
          <w:shd w:val="clear" w:color="auto" w:fill="FFFFFF"/>
        </w:rPr>
      </w:pPr>
      <w:r>
        <w:rPr>
          <w:rFonts w:ascii="仿宋" w:hAnsi="仿宋" w:eastAsia="仿宋" w:cs="仿宋"/>
          <w:b/>
          <w:bCs/>
          <w:sz w:val="32"/>
          <w:szCs w:val="32"/>
        </w:rPr>
        <w:t>（一）通用管理要求</w:t>
      </w:r>
    </w:p>
    <w:p w14:paraId="51C1A5D2">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1.</w:t>
      </w:r>
      <w:r>
        <w:rPr>
          <w:rFonts w:ascii="仿宋_GB2312" w:hAnsi="仿宋" w:eastAsia="仿宋_GB2312" w:cs="仿宋"/>
          <w:sz w:val="32"/>
          <w:szCs w:val="32"/>
        </w:rPr>
        <w:t>前期调查：围堰工程施工前应开展水流、水文、河床地质、周边水域环境、通航条件及毗邻建（构）筑物、地下管线调查。</w:t>
      </w:r>
    </w:p>
    <w:p w14:paraId="0D033C8A">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2.</w:t>
      </w:r>
      <w:r>
        <w:rPr>
          <w:rFonts w:ascii="仿宋_GB2312" w:hAnsi="仿宋" w:eastAsia="仿宋_GB2312" w:cs="仿宋"/>
          <w:sz w:val="32"/>
          <w:szCs w:val="32"/>
        </w:rPr>
        <w:t>设计文件审查：围堰工程设计文件应经施工图审查机构审查合格。</w:t>
      </w:r>
    </w:p>
    <w:p w14:paraId="5036260A">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3.</w:t>
      </w:r>
      <w:r>
        <w:rPr>
          <w:rFonts w:ascii="仿宋_GB2312" w:hAnsi="仿宋" w:eastAsia="仿宋_GB2312" w:cs="仿宋"/>
          <w:sz w:val="32"/>
          <w:szCs w:val="32"/>
        </w:rPr>
        <w:t>专项方案编制与论证：围堰工程施工前，施工单位应编制专项施工方案及应急预案，属于超规模的围堰工程，施工单位应从“湖南省建设工程安全专家管理系统”中抽取专家，对专项施工方案进行论证。</w:t>
      </w:r>
    </w:p>
    <w:p w14:paraId="485E3868">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4.</w:t>
      </w:r>
      <w:r>
        <w:rPr>
          <w:rFonts w:ascii="仿宋_GB2312" w:hAnsi="仿宋" w:eastAsia="仿宋_GB2312" w:cs="仿宋"/>
          <w:sz w:val="32"/>
          <w:szCs w:val="32"/>
        </w:rPr>
        <w:t>第三方监测委托：对需要监测的围堰工程，在施工前应由建设单位委托具备相应勘察设计资质的第三方机构实施现场监测。</w:t>
      </w:r>
    </w:p>
    <w:p w14:paraId="61A6C166">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5.</w:t>
      </w:r>
      <w:r>
        <w:rPr>
          <w:rFonts w:ascii="仿宋_GB2312" w:hAnsi="仿宋" w:eastAsia="仿宋_GB2312" w:cs="仿宋"/>
          <w:sz w:val="32"/>
          <w:szCs w:val="32"/>
        </w:rPr>
        <w:t>监测方案编制与评审：第三方监测单位应编制监测方案，并按规定进行审核、审批，监测方案必须明确监测项目、监测对象、监测频率、监测点的布置与保护、监测报警值和异常及危险情况下的监测措施等。对施工安全等级为一级的围堰工程，应对围堰监测方案进行专家评审。</w:t>
      </w:r>
    </w:p>
    <w:p w14:paraId="55565B2B">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6.</w:t>
      </w:r>
      <w:r>
        <w:rPr>
          <w:rFonts w:ascii="仿宋_GB2312" w:hAnsi="仿宋" w:eastAsia="仿宋_GB2312" w:cs="仿宋"/>
          <w:sz w:val="32"/>
          <w:szCs w:val="32"/>
        </w:rPr>
        <w:t>开工安全生产条件审查：围堰工程开工前，建设单位、施工总承包单位及监理单位应按照《危险性较大的分部分项工程开工安全生产条件审查表》对危险性较大的分部分项工程开工安全生产条件进行自查。</w:t>
      </w:r>
    </w:p>
    <w:p w14:paraId="6CF456C9">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7.</w:t>
      </w:r>
      <w:r>
        <w:rPr>
          <w:rFonts w:ascii="仿宋_GB2312" w:hAnsi="仿宋" w:eastAsia="仿宋_GB2312" w:cs="仿宋"/>
          <w:sz w:val="32"/>
          <w:szCs w:val="32"/>
        </w:rPr>
        <w:t>方案交底与监理工作：施工单位应按规定组织专项施工方案交底、安全技术交底，监理单位应编制安全监理细则和旁站方案。</w:t>
      </w:r>
    </w:p>
    <w:p w14:paraId="74B258E0">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8.</w:t>
      </w:r>
      <w:r>
        <w:rPr>
          <w:rFonts w:ascii="仿宋_GB2312" w:hAnsi="仿宋" w:eastAsia="仿宋_GB2312" w:cs="仿宋"/>
          <w:sz w:val="32"/>
          <w:szCs w:val="32"/>
        </w:rPr>
        <w:t>堰基检测与监测点验收：围堰工程施工前，应取得堰基及支护结构检测报告，监测点应完成验收。</w:t>
      </w:r>
    </w:p>
    <w:p w14:paraId="79086CF4">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9.</w:t>
      </w:r>
      <w:r>
        <w:rPr>
          <w:rFonts w:ascii="仿宋_GB2312" w:hAnsi="仿宋" w:eastAsia="仿宋_GB2312" w:cs="仿宋"/>
          <w:sz w:val="32"/>
          <w:szCs w:val="32"/>
        </w:rPr>
        <w:t>施工基本原则：围堰施工应遵循“先勘察后设计、先设计后施工、先支护后开挖、分层分段施工、严禁超荷载作业”原则，按设计和方案要求均衡填筑、下沉、拆除，施工过程中需防止碰撞围堰结构、扰动堰基原状土，机械作业时人员不得进入机械作业半径范围。</w:t>
      </w:r>
    </w:p>
    <w:p w14:paraId="5348B5EA">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10.</w:t>
      </w:r>
      <w:r>
        <w:rPr>
          <w:rFonts w:ascii="仿宋_GB2312" w:hAnsi="仿宋" w:eastAsia="仿宋_GB2312" w:cs="仿宋"/>
          <w:sz w:val="32"/>
          <w:szCs w:val="32"/>
        </w:rPr>
        <w:t>临水及高处作业安全防护：临水及高处作业区域周边应设置防护栏杆，栏杆应加挂密目安全网和挡脚板。围堰内应设置供施工人员上下的专用梯道，并设置扶手栏杆。</w:t>
      </w:r>
    </w:p>
    <w:p w14:paraId="2777B3CB">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11.</w:t>
      </w:r>
      <w:r>
        <w:rPr>
          <w:rFonts w:ascii="仿宋_GB2312" w:hAnsi="仿宋" w:eastAsia="仿宋_GB2312" w:cs="仿宋"/>
          <w:sz w:val="32"/>
          <w:szCs w:val="32"/>
        </w:rPr>
        <w:t>截排水措施：围堰坡顶、堰体顶部及堰底周边应采取截水、排水或降水措施，防止雨水倒灌、堰体渗水及水位差失控。</w:t>
      </w:r>
    </w:p>
    <w:p w14:paraId="363927CC">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12.</w:t>
      </w:r>
      <w:r>
        <w:rPr>
          <w:rFonts w:ascii="仿宋_GB2312" w:hAnsi="仿宋" w:eastAsia="仿宋_GB2312" w:cs="仿宋"/>
          <w:sz w:val="32"/>
          <w:szCs w:val="32"/>
        </w:rPr>
        <w:t>坑边荷载控制：围堰周边堆放材料、停放设备设施或使用机械设备等荷载严禁超过设计要求的地面荷载限值。</w:t>
      </w:r>
    </w:p>
    <w:p w14:paraId="49B887AA">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13.</w:t>
      </w:r>
      <w:r>
        <w:rPr>
          <w:rFonts w:ascii="仿宋_GB2312" w:hAnsi="仿宋" w:eastAsia="仿宋_GB2312" w:cs="仿宋"/>
          <w:sz w:val="32"/>
          <w:szCs w:val="32"/>
        </w:rPr>
        <w:t>施工监测与预警：围堰施工及使用期间，应根据设计和施工方案进行监测，当监测结果达到预警值时，应立即停止作业，采取有效措施后方可继续施工。</w:t>
      </w:r>
    </w:p>
    <w:p w14:paraId="47395455">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14.检查与验收：在构配件进场、围堰结构安装完成、安全防护设施安装完成各阶段，或围堰施工完成、投入使用前应办理检查验收手续。</w:t>
      </w:r>
    </w:p>
    <w:p w14:paraId="7D6516F8">
      <w:pPr>
        <w:spacing w:line="520" w:lineRule="exact"/>
        <w:ind w:firstLine="643" w:firstLineChars="200"/>
        <w:rPr>
          <w:rFonts w:hint="eastAsia" w:ascii="仿宋" w:hAnsi="仿宋" w:eastAsia="仿宋" w:cs="仿宋"/>
          <w:b/>
          <w:bCs/>
          <w:sz w:val="32"/>
          <w:szCs w:val="32"/>
        </w:rPr>
      </w:pPr>
      <w:r>
        <w:rPr>
          <w:rFonts w:ascii="仿宋" w:hAnsi="仿宋" w:eastAsia="仿宋" w:cs="仿宋"/>
          <w:b/>
          <w:bCs/>
          <w:sz w:val="32"/>
          <w:szCs w:val="32"/>
        </w:rPr>
        <w:t>（二）钢围堰专项管控要求</w:t>
      </w:r>
    </w:p>
    <w:p w14:paraId="2A2F1CFC">
      <w:pPr>
        <w:spacing w:line="520" w:lineRule="exact"/>
        <w:ind w:firstLine="640" w:firstLineChars="200"/>
        <w:rPr>
          <w:rFonts w:hint="eastAsia" w:ascii="仿宋_GB2312" w:hAnsi="仿宋" w:eastAsia="仿宋_GB2312" w:cs="仿宋"/>
          <w:sz w:val="32"/>
          <w:szCs w:val="32"/>
        </w:rPr>
      </w:pPr>
      <w:r>
        <w:rPr>
          <w:rFonts w:ascii="仿宋_GB2312" w:hAnsi="仿宋" w:eastAsia="仿宋_GB2312" w:cs="仿宋"/>
          <w:sz w:val="32"/>
          <w:szCs w:val="32"/>
        </w:rPr>
        <w:t>钢围堰（含钢板桩围堰、双壁钢围堰等）结构受力复杂，对施工精度和质量要求高。</w:t>
      </w:r>
    </w:p>
    <w:p w14:paraId="6C77B0CF">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1.</w:t>
      </w:r>
      <w:r>
        <w:rPr>
          <w:rFonts w:ascii="仿宋_GB2312" w:hAnsi="仿宋" w:eastAsia="仿宋_GB2312" w:cs="仿宋"/>
          <w:sz w:val="32"/>
          <w:szCs w:val="32"/>
        </w:rPr>
        <w:t>设计与方案：钢围堰应对受力构件及焊缝进行计算，验算整体稳定性和抗倾覆。专项方案应明确钢板桩材质、型号、性能，双壁钢围堰应包含设计、制作、拼装、下沉等内容。</w:t>
      </w:r>
    </w:p>
    <w:p w14:paraId="46C6D70E">
      <w:pPr>
        <w:spacing w:line="56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2.</w:t>
      </w:r>
      <w:r>
        <w:rPr>
          <w:rFonts w:ascii="仿宋_GB2312" w:hAnsi="仿宋" w:eastAsia="仿宋_GB2312" w:cs="仿宋"/>
          <w:sz w:val="32"/>
          <w:szCs w:val="32"/>
        </w:rPr>
        <w:t>制作与拼装：钢板桩搬运起吊应防止锁口损坏及变形，存放期防止变形及锁口积水。接长应以同规格材料焊接，先焊接头后焊接钢板</w:t>
      </w:r>
      <w:r>
        <w:rPr>
          <w:rFonts w:hint="eastAsia" w:ascii="仿宋_GB2312" w:hAnsi="仿宋" w:eastAsia="仿宋_GB2312" w:cs="仿宋"/>
          <w:sz w:val="32"/>
          <w:szCs w:val="32"/>
        </w:rPr>
        <w:t>，焊接长度就满足要求。接</w:t>
      </w:r>
      <w:r>
        <w:rPr>
          <w:rFonts w:ascii="仿宋_GB2312" w:hAnsi="仿宋" w:eastAsia="仿宋_GB2312" w:cs="仿宋"/>
          <w:sz w:val="32"/>
          <w:szCs w:val="32"/>
        </w:rPr>
        <w:t>首节拼装必须设置防倾覆措施。</w:t>
      </w:r>
    </w:p>
    <w:p w14:paraId="5535169E">
      <w:pPr>
        <w:spacing w:line="560" w:lineRule="exact"/>
        <w:ind w:firstLine="640" w:firstLineChars="200"/>
        <w:rPr>
          <w:rFonts w:hint="eastAsia" w:ascii="仿宋_GB2312" w:hAnsi="仿宋" w:eastAsia="仿宋_GB2312" w:cs="仿宋"/>
          <w:color w:val="C00000"/>
          <w:kern w:val="0"/>
          <w:sz w:val="32"/>
          <w:szCs w:val="32"/>
        </w:rPr>
      </w:pPr>
      <w:r>
        <w:rPr>
          <w:rFonts w:ascii="仿宋_GB2312" w:hAnsi="仿宋" w:eastAsia="仿宋_GB2312" w:cs="仿宋"/>
          <w:color w:val="C00000"/>
          <w:sz w:val="32"/>
          <w:szCs w:val="32"/>
        </w:rPr>
        <w:t>双壁钢</w:t>
      </w:r>
      <w:r>
        <w:rPr>
          <w:rFonts w:hint="eastAsia" w:ascii="仿宋_GB2312" w:hAnsi="仿宋" w:eastAsia="仿宋_GB2312" w:cs="仿宋"/>
          <w:color w:val="C00000"/>
          <w:kern w:val="0"/>
          <w:sz w:val="32"/>
          <w:szCs w:val="32"/>
        </w:rPr>
        <w:t>围堰工程施工过程中，严格控制支护结构垂直度及平面位置，围檩安装过程中，严格按照专项施工方案中的验算工况进行施工指导，确保各个阶段围堰结构受荷状态基本复核结构验算工况，保障结构整体安全与稳定。</w:t>
      </w:r>
    </w:p>
    <w:p w14:paraId="70B17FC4">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3.施</w:t>
      </w:r>
      <w:r>
        <w:rPr>
          <w:rFonts w:ascii="仿宋_GB2312" w:hAnsi="仿宋" w:eastAsia="仿宋_GB2312" w:cs="仿宋"/>
          <w:sz w:val="32"/>
          <w:szCs w:val="32"/>
        </w:rPr>
        <w:t>打与下沉：插打前锁口应采取止水措施；</w:t>
      </w:r>
      <w:r>
        <w:rPr>
          <w:rFonts w:hint="eastAsia" w:ascii="仿宋_GB2312" w:hAnsi="仿宋" w:eastAsia="仿宋_GB2312" w:cs="仿宋"/>
          <w:sz w:val="32"/>
          <w:szCs w:val="32"/>
        </w:rPr>
        <w:t>钢围堰施打或下沉应采取可靠的定位系统和导向装置；接高或下沉作业过程中，应采取保持围堰稳定的措施</w:t>
      </w:r>
      <w:r>
        <w:rPr>
          <w:rFonts w:ascii="仿宋_GB2312" w:hAnsi="仿宋" w:eastAsia="仿宋_GB2312" w:cs="仿宋"/>
          <w:sz w:val="32"/>
          <w:szCs w:val="32"/>
        </w:rPr>
        <w:t>。</w:t>
      </w:r>
    </w:p>
    <w:p w14:paraId="647F7045">
      <w:pPr>
        <w:spacing w:line="56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4.</w:t>
      </w:r>
      <w:r>
        <w:rPr>
          <w:rFonts w:ascii="仿宋_GB2312" w:hAnsi="仿宋" w:eastAsia="仿宋_GB2312" w:cs="仿宋"/>
          <w:sz w:val="32"/>
          <w:szCs w:val="32"/>
        </w:rPr>
        <w:t>使用与维护：按方案进行监测，</w:t>
      </w:r>
      <w:r>
        <w:rPr>
          <w:rFonts w:hint="eastAsia" w:ascii="仿宋_GB2312" w:hAnsi="仿宋" w:eastAsia="仿宋_GB2312" w:cs="仿宋"/>
          <w:color w:val="C00000"/>
          <w:kern w:val="0"/>
          <w:sz w:val="32"/>
          <w:szCs w:val="32"/>
        </w:rPr>
        <w:t>对于数据达到预警值或出现围堰侧壁鼓曲、支撑弯曲、接缝涌水涌砂等异常，应立即停止施工、撤离人员，并启动应急预案。应对基底蓄水抽排进行合理布置，严格把控围堰内外水头差</w:t>
      </w:r>
      <w:r>
        <w:rPr>
          <w:rFonts w:ascii="仿宋_GB2312" w:hAnsi="仿宋" w:eastAsia="仿宋_GB2312" w:cs="仿宋"/>
          <w:sz w:val="32"/>
          <w:szCs w:val="32"/>
        </w:rPr>
        <w:t>监测水位变化，严禁</w:t>
      </w:r>
      <w:r>
        <w:rPr>
          <w:rFonts w:hint="eastAsia" w:ascii="仿宋_GB2312" w:hAnsi="仿宋" w:eastAsia="仿宋_GB2312" w:cs="仿宋"/>
          <w:sz w:val="32"/>
          <w:szCs w:val="32"/>
        </w:rPr>
        <w:t>随意擅自</w:t>
      </w:r>
      <w:r>
        <w:rPr>
          <w:rFonts w:ascii="仿宋_GB2312" w:hAnsi="仿宋" w:eastAsia="仿宋_GB2312" w:cs="仿宋"/>
          <w:sz w:val="32"/>
          <w:szCs w:val="32"/>
        </w:rPr>
        <w:t>加高围堰，确需加高应重新设计并经专家论证。基础施工时严禁碰撞支撑，不得在支撑上放置重物。</w:t>
      </w:r>
    </w:p>
    <w:p w14:paraId="080300D4">
      <w:pPr>
        <w:spacing w:line="520" w:lineRule="exact"/>
        <w:ind w:firstLine="640" w:firstLineChars="200"/>
        <w:rPr>
          <w:rFonts w:ascii="Segoe UI" w:hAnsi="Segoe UI" w:eastAsia="Segoe UI" w:cs="Segoe UI"/>
          <w:color w:val="800080"/>
          <w:szCs w:val="21"/>
          <w:shd w:val="clear" w:color="auto" w:fill="FFFFFF"/>
        </w:rPr>
      </w:pPr>
      <w:r>
        <w:rPr>
          <w:rFonts w:hint="eastAsia" w:ascii="仿宋_GB2312" w:hAnsi="仿宋" w:eastAsia="仿宋_GB2312" w:cs="仿宋"/>
          <w:sz w:val="32"/>
          <w:szCs w:val="32"/>
        </w:rPr>
        <w:t>5.</w:t>
      </w:r>
      <w:r>
        <w:rPr>
          <w:rFonts w:ascii="仿宋_GB2312" w:hAnsi="仿宋" w:eastAsia="仿宋_GB2312" w:cs="仿宋"/>
          <w:sz w:val="32"/>
          <w:szCs w:val="32"/>
        </w:rPr>
        <w:t>拆除：拆除前堰内外水位应相同，拔桩由下游开始。拆除应严格按设计步骤进行，严禁底部掏掘或推倒。</w:t>
      </w:r>
    </w:p>
    <w:p w14:paraId="76437EDB">
      <w:pPr>
        <w:spacing w:line="520" w:lineRule="exact"/>
        <w:ind w:firstLine="643" w:firstLineChars="200"/>
        <w:rPr>
          <w:rFonts w:hint="eastAsia" w:ascii="仿宋" w:hAnsi="仿宋" w:eastAsia="仿宋" w:cs="仿宋"/>
          <w:b/>
          <w:bCs/>
          <w:sz w:val="32"/>
          <w:szCs w:val="32"/>
        </w:rPr>
      </w:pPr>
      <w:r>
        <w:rPr>
          <w:rFonts w:ascii="仿宋" w:hAnsi="仿宋" w:eastAsia="仿宋" w:cs="仿宋"/>
          <w:b/>
          <w:bCs/>
          <w:sz w:val="32"/>
          <w:szCs w:val="32"/>
        </w:rPr>
        <w:t>（三）土石围堰专项管控要求</w:t>
      </w:r>
    </w:p>
    <w:p w14:paraId="1666A075">
      <w:pPr>
        <w:spacing w:line="520" w:lineRule="exact"/>
        <w:ind w:firstLine="640" w:firstLineChars="200"/>
        <w:rPr>
          <w:rFonts w:hint="eastAsia" w:ascii="仿宋_GB2312" w:hAnsi="仿宋" w:eastAsia="仿宋_GB2312" w:cs="仿宋"/>
          <w:sz w:val="32"/>
          <w:szCs w:val="32"/>
        </w:rPr>
      </w:pPr>
      <w:r>
        <w:rPr>
          <w:rFonts w:ascii="仿宋_GB2312" w:hAnsi="仿宋" w:eastAsia="仿宋_GB2312" w:cs="仿宋"/>
          <w:sz w:val="32"/>
          <w:szCs w:val="32"/>
        </w:rPr>
        <w:t>土石围堰（含土围堰、袋装土围堰）对填筑材料和施工工艺要求严格，防渗和稳定是管控核心。</w:t>
      </w:r>
    </w:p>
    <w:p w14:paraId="7A265695">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1.</w:t>
      </w:r>
      <w:r>
        <w:rPr>
          <w:rFonts w:ascii="仿宋_GB2312" w:hAnsi="仿宋" w:eastAsia="仿宋_GB2312" w:cs="仿宋"/>
          <w:sz w:val="32"/>
          <w:szCs w:val="32"/>
        </w:rPr>
        <w:t>填筑材料与基底处理：填筑前必须清理基底。填筑材料应以黏性土为主，严禁使用淤泥、沼泽土、泥炭土、冻土、有机土或含生活垃圾的土。严格控制土料含水率，确保压实度符合设计要求。</w:t>
      </w:r>
    </w:p>
    <w:p w14:paraId="2BD4872B">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w:t>
      </w:r>
      <w:r>
        <w:rPr>
          <w:rFonts w:ascii="仿宋_GB2312" w:hAnsi="仿宋" w:eastAsia="仿宋_GB2312" w:cs="仿宋"/>
          <w:sz w:val="32"/>
          <w:szCs w:val="32"/>
        </w:rPr>
        <w:t>填筑施工：填筑顺序应自岸边起始，双向合拢时拢口设于水深较浅区域。严格按设计尺寸、分层厚度、压实标准施工，严禁违规回填、偷工减料。结构尺寸应符合规范要求，确保自身稳定性。</w:t>
      </w:r>
    </w:p>
    <w:p w14:paraId="13524BF9">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3.</w:t>
      </w:r>
      <w:r>
        <w:rPr>
          <w:rFonts w:ascii="仿宋_GB2312" w:hAnsi="仿宋" w:eastAsia="仿宋_GB2312" w:cs="仿宋"/>
          <w:sz w:val="32"/>
          <w:szCs w:val="32"/>
        </w:rPr>
        <w:t>防渗与防护：填筑完成后，堰内进行压渗处理，堰外迎水面进行防冲刷加固。防渗设施铺设应检查破损情况，铺设后及时压实固定。围堰内作业遇洪水或水流，应立即撤出人员。</w:t>
      </w:r>
    </w:p>
    <w:p w14:paraId="573950A5">
      <w:pPr>
        <w:spacing w:line="520" w:lineRule="exact"/>
        <w:ind w:firstLine="640" w:firstLineChars="200"/>
        <w:rPr>
          <w:rFonts w:ascii="Segoe UI" w:hAnsi="Segoe UI" w:eastAsia="Segoe UI" w:cs="Segoe UI"/>
          <w:color w:val="800080"/>
          <w:szCs w:val="21"/>
          <w:shd w:val="clear" w:color="auto" w:fill="FFFFFF"/>
        </w:rPr>
      </w:pPr>
      <w:r>
        <w:rPr>
          <w:rFonts w:hint="eastAsia" w:ascii="仿宋_GB2312" w:hAnsi="仿宋" w:eastAsia="仿宋_GB2312" w:cs="仿宋"/>
          <w:sz w:val="32"/>
          <w:szCs w:val="32"/>
        </w:rPr>
        <w:t>4.</w:t>
      </w:r>
      <w:r>
        <w:rPr>
          <w:rFonts w:ascii="仿宋_GB2312" w:hAnsi="仿宋" w:eastAsia="仿宋_GB2312" w:cs="仿宋"/>
          <w:sz w:val="32"/>
          <w:szCs w:val="32"/>
        </w:rPr>
        <w:t>排水与维护：基坑排水过程中必须随时检查围堰，绘制排水量与水位下降关系曲线，设置水位观测标尺。排水后水位不降甚至上升时，必须停止排水并检查；发现变形、结构不稳定且因内外水位差过大导致时，立即向堰内注水恢复平衡水位，经处理合格后方可重新排水。</w:t>
      </w:r>
    </w:p>
    <w:p w14:paraId="4CD7A4D4">
      <w:pPr>
        <w:spacing w:line="520" w:lineRule="exact"/>
        <w:ind w:firstLine="643" w:firstLineChars="200"/>
        <w:rPr>
          <w:rFonts w:ascii="Segoe UI" w:hAnsi="Segoe UI" w:eastAsia="Segoe UI" w:cs="Segoe UI"/>
          <w:color w:val="800080"/>
          <w:szCs w:val="21"/>
          <w:shd w:val="clear" w:color="auto" w:fill="FFFFFF"/>
        </w:rPr>
      </w:pPr>
      <w:r>
        <w:rPr>
          <w:rFonts w:ascii="仿宋" w:hAnsi="仿宋" w:eastAsia="仿宋" w:cs="仿宋"/>
          <w:b/>
          <w:bCs/>
          <w:sz w:val="32"/>
          <w:szCs w:val="32"/>
        </w:rPr>
        <w:t>（四）通用安全设施与应急管理</w:t>
      </w:r>
    </w:p>
    <w:p w14:paraId="07DB3F85">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1.</w:t>
      </w:r>
      <w:r>
        <w:rPr>
          <w:rFonts w:ascii="仿宋_GB2312" w:hAnsi="仿宋" w:eastAsia="仿宋_GB2312" w:cs="仿宋"/>
          <w:sz w:val="32"/>
          <w:szCs w:val="32"/>
        </w:rPr>
        <w:t>安全防护设施：作业区域设置警示标识和物理隔离。水上钢围堰应设置水上作业警示标志和防护栏，夜间河道作业区域应布置警示照明灯；在靠近航道处的作业区应设置防止船舶撞击的装置。</w:t>
      </w:r>
    </w:p>
    <w:p w14:paraId="01209761">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2.</w:t>
      </w:r>
      <w:r>
        <w:rPr>
          <w:rFonts w:ascii="仿宋_GB2312" w:hAnsi="仿宋" w:eastAsia="仿宋_GB2312" w:cs="仿宋"/>
          <w:sz w:val="32"/>
          <w:szCs w:val="32"/>
        </w:rPr>
        <w:t>应急管理：制定围堰坍塌、渗漏、人员被困等应急预案并定期演练。</w:t>
      </w:r>
      <w:r>
        <w:rPr>
          <w:rFonts w:ascii="仿宋_GB2312" w:hAnsi="仿宋" w:eastAsia="仿宋_GB2312" w:cs="仿宋"/>
          <w:color w:val="C00000"/>
          <w:sz w:val="32"/>
          <w:szCs w:val="32"/>
        </w:rPr>
        <w:t>围堰之至少应设</w:t>
      </w:r>
      <w:r>
        <w:rPr>
          <w:rFonts w:hint="eastAsia" w:ascii="仿宋_GB2312" w:hAnsi="仿宋" w:eastAsia="仿宋_GB2312" w:cs="仿宋"/>
          <w:color w:val="C00000"/>
          <w:sz w:val="32"/>
          <w:szCs w:val="32"/>
        </w:rPr>
        <w:t>2</w:t>
      </w:r>
      <w:r>
        <w:rPr>
          <w:rFonts w:ascii="仿宋_GB2312" w:hAnsi="仿宋" w:eastAsia="仿宋_GB2312" w:cs="仿宋"/>
          <w:color w:val="C00000"/>
          <w:sz w:val="32"/>
          <w:szCs w:val="32"/>
        </w:rPr>
        <w:t>个紧急出口</w:t>
      </w:r>
      <w:r>
        <w:rPr>
          <w:rFonts w:hint="eastAsia" w:ascii="仿宋_GB2312" w:hAnsi="仿宋" w:eastAsia="仿宋_GB2312" w:cs="仿宋"/>
          <w:color w:val="C00000"/>
          <w:sz w:val="32"/>
          <w:szCs w:val="32"/>
        </w:rPr>
        <w:t>通</w:t>
      </w:r>
      <w:r>
        <w:rPr>
          <w:rFonts w:ascii="仿宋_GB2312" w:hAnsi="仿宋" w:eastAsia="仿宋_GB2312" w:cs="仿宋"/>
          <w:color w:val="C00000"/>
          <w:sz w:val="32"/>
          <w:szCs w:val="32"/>
        </w:rPr>
        <w:t>道，并按规定设置</w:t>
      </w:r>
      <w:r>
        <w:rPr>
          <w:rFonts w:hint="eastAsia" w:ascii="仿宋_GB2312" w:hAnsi="仿宋" w:eastAsia="仿宋_GB2312" w:cs="仿宋"/>
          <w:color w:val="C00000"/>
          <w:sz w:val="32"/>
          <w:szCs w:val="32"/>
        </w:rPr>
        <w:t>高度不低于1.2米的</w:t>
      </w:r>
      <w:r>
        <w:rPr>
          <w:rFonts w:ascii="仿宋_GB2312" w:hAnsi="仿宋" w:eastAsia="仿宋_GB2312" w:cs="仿宋"/>
          <w:color w:val="C00000"/>
          <w:sz w:val="32"/>
          <w:szCs w:val="32"/>
        </w:rPr>
        <w:t>护栏</w:t>
      </w:r>
      <w:r>
        <w:rPr>
          <w:rFonts w:ascii="仿宋_GB2312" w:hAnsi="仿宋" w:eastAsia="仿宋_GB2312" w:cs="仿宋"/>
          <w:sz w:val="32"/>
          <w:szCs w:val="32"/>
        </w:rPr>
        <w:t>。</w:t>
      </w:r>
    </w:p>
    <w:p w14:paraId="5A5C1158">
      <w:pPr>
        <w:spacing w:line="520" w:lineRule="exact"/>
        <w:ind w:firstLine="640" w:firstLineChars="200"/>
        <w:rPr>
          <w:rFonts w:ascii="Segoe UI" w:hAnsi="Segoe UI" w:eastAsia="Segoe UI" w:cs="Segoe UI"/>
          <w:color w:val="800080"/>
          <w:szCs w:val="21"/>
          <w:shd w:val="clear" w:color="auto" w:fill="FFFFFF"/>
        </w:rPr>
      </w:pPr>
      <w:r>
        <w:rPr>
          <w:rFonts w:hint="eastAsia" w:ascii="仿宋_GB2312" w:hAnsi="仿宋" w:eastAsia="仿宋_GB2312" w:cs="仿宋"/>
          <w:sz w:val="32"/>
          <w:szCs w:val="32"/>
        </w:rPr>
        <w:t>3.</w:t>
      </w:r>
      <w:r>
        <w:rPr>
          <w:rFonts w:ascii="仿宋_GB2312" w:hAnsi="仿宋" w:eastAsia="仿宋_GB2312" w:cs="仿宋"/>
          <w:sz w:val="32"/>
          <w:szCs w:val="32"/>
        </w:rPr>
        <w:t>特殊作业条件：遇雷雨、大雪、浓雾或5级以上大风，立即停止高空及水上作业。严禁在外电架空线路正下方开展围堰施工、吊装等作业。</w:t>
      </w:r>
    </w:p>
    <w:p w14:paraId="19124426">
      <w:pPr>
        <w:spacing w:line="520" w:lineRule="exact"/>
        <w:ind w:firstLine="643" w:firstLineChars="200"/>
        <w:rPr>
          <w:rFonts w:hint="eastAsia" w:ascii="仿宋" w:hAnsi="仿宋" w:eastAsia="仿宋" w:cs="仿宋"/>
          <w:b/>
          <w:bCs/>
          <w:sz w:val="32"/>
          <w:szCs w:val="32"/>
        </w:rPr>
      </w:pPr>
      <w:r>
        <w:rPr>
          <w:rFonts w:ascii="仿宋" w:hAnsi="仿宋" w:eastAsia="仿宋" w:cs="仿宋"/>
          <w:b/>
          <w:bCs/>
          <w:sz w:val="32"/>
          <w:szCs w:val="32"/>
        </w:rPr>
        <w:t>三、常见问题</w:t>
      </w:r>
    </w:p>
    <w:p w14:paraId="6CCD2950">
      <w:pPr>
        <w:spacing w:line="560" w:lineRule="exact"/>
        <w:ind w:firstLine="640" w:firstLineChars="200"/>
        <w:rPr>
          <w:rFonts w:hint="eastAsia" w:ascii="仿宋_GB2312" w:hAnsi="仿宋" w:eastAsia="仿宋_GB2312" w:cs="仿宋"/>
          <w:color w:val="C00000"/>
          <w:kern w:val="0"/>
          <w:sz w:val="32"/>
          <w:szCs w:val="32"/>
        </w:rPr>
      </w:pPr>
      <w:r>
        <w:rPr>
          <w:rFonts w:hint="eastAsia" w:ascii="仿宋_GB2312" w:hAnsi="仿宋" w:eastAsia="仿宋_GB2312" w:cs="仿宋"/>
          <w:color w:val="C00000"/>
          <w:kern w:val="0"/>
          <w:sz w:val="32"/>
          <w:szCs w:val="32"/>
        </w:rPr>
        <w:t>1、支护结构问题：如未按设计和专项施工方案及时施作支护结构，存在“先挖后撑”，或支撑间距过大，或围檩、内支撑安装过程中存在空隙，未能及时有效实施支撑，增加围堰支护变形和倾覆的风险。未达到设计规定的支撑拆除条件，提前拆除支撑等。</w:t>
      </w:r>
    </w:p>
    <w:p w14:paraId="15B6D528">
      <w:pPr>
        <w:spacing w:line="560" w:lineRule="exact"/>
        <w:ind w:firstLine="640" w:firstLineChars="200"/>
        <w:rPr>
          <w:rFonts w:hint="eastAsia" w:ascii="黑体" w:hAnsi="黑体" w:eastAsia="黑体" w:cs="黑体"/>
          <w:color w:val="C00000"/>
          <w:sz w:val="18"/>
          <w:szCs w:val="18"/>
        </w:rPr>
      </w:pPr>
      <w:r>
        <w:rPr>
          <w:rFonts w:hint="eastAsia" w:ascii="仿宋_GB2312" w:hAnsi="仿宋" w:eastAsia="仿宋_GB2312" w:cs="仿宋"/>
          <w:color w:val="C00000"/>
          <w:sz w:val="32"/>
          <w:szCs w:val="32"/>
        </w:rPr>
        <w:t>2、</w:t>
      </w:r>
      <w:r>
        <w:rPr>
          <w:rFonts w:ascii="仿宋_GB2312" w:hAnsi="仿宋" w:eastAsia="仿宋_GB2312" w:cs="仿宋"/>
          <w:color w:val="C00000"/>
          <w:sz w:val="32"/>
          <w:szCs w:val="32"/>
        </w:rPr>
        <w:t>施工过程管控问题：</w:t>
      </w:r>
      <w:r>
        <w:rPr>
          <w:rFonts w:hint="eastAsia" w:ascii="仿宋_GB2312" w:hAnsi="仿宋" w:eastAsia="仿宋_GB2312" w:cs="仿宋"/>
          <w:color w:val="C00000"/>
          <w:sz w:val="32"/>
          <w:szCs w:val="32"/>
        </w:rPr>
        <w:t>如</w:t>
      </w:r>
      <w:r>
        <w:rPr>
          <w:rFonts w:ascii="仿宋_GB2312" w:hAnsi="仿宋" w:eastAsia="仿宋_GB2312" w:cs="仿宋"/>
          <w:color w:val="C00000"/>
          <w:sz w:val="32"/>
          <w:szCs w:val="32"/>
        </w:rPr>
        <w:t>堰基处理未达设计要求；</w:t>
      </w:r>
      <w:r>
        <w:rPr>
          <w:rFonts w:hint="eastAsia" w:ascii="仿宋_GB2312" w:hAnsi="仿宋" w:eastAsia="仿宋_GB2312" w:cs="仿宋"/>
          <w:color w:val="C00000"/>
          <w:kern w:val="0"/>
          <w:sz w:val="32"/>
          <w:szCs w:val="32"/>
        </w:rPr>
        <w:t>未按设计和施工方案要求分层、分段开挖；存在土方超挖，增加围堰支护变形和倾覆的风险。</w:t>
      </w:r>
      <w:r>
        <w:rPr>
          <w:rFonts w:ascii="仿宋_GB2312" w:hAnsi="仿宋" w:eastAsia="仿宋_GB2312" w:cs="仿宋"/>
          <w:color w:val="C00000"/>
          <w:sz w:val="32"/>
          <w:szCs w:val="32"/>
        </w:rPr>
        <w:t>土石围堰填筑分层过厚、压实度不足，防渗设施铺设不规范。</w:t>
      </w:r>
    </w:p>
    <w:p w14:paraId="221C1302">
      <w:pPr>
        <w:spacing w:line="560" w:lineRule="exact"/>
        <w:ind w:firstLine="640" w:firstLineChars="200"/>
        <w:rPr>
          <w:rFonts w:hint="eastAsia" w:ascii="黑体" w:hAnsi="黑体" w:eastAsia="黑体" w:cs="黑体"/>
          <w:color w:val="C00000"/>
          <w:sz w:val="18"/>
          <w:szCs w:val="18"/>
        </w:rPr>
      </w:pPr>
      <w:r>
        <w:rPr>
          <w:rFonts w:hint="eastAsia" w:ascii="仿宋_GB2312" w:hAnsi="仿宋" w:eastAsia="仿宋_GB2312" w:cs="仿宋"/>
          <w:color w:val="C00000"/>
          <w:sz w:val="32"/>
          <w:szCs w:val="32"/>
        </w:rPr>
        <w:t>3、</w:t>
      </w:r>
      <w:r>
        <w:rPr>
          <w:rFonts w:ascii="仿宋_GB2312" w:hAnsi="仿宋" w:eastAsia="仿宋_GB2312" w:cs="仿宋"/>
          <w:color w:val="C00000"/>
          <w:sz w:val="32"/>
          <w:szCs w:val="32"/>
        </w:rPr>
        <w:t>监测与</w:t>
      </w:r>
      <w:r>
        <w:rPr>
          <w:rFonts w:hint="eastAsia" w:ascii="仿宋_GB2312" w:hAnsi="仿宋" w:eastAsia="仿宋_GB2312" w:cs="仿宋"/>
          <w:color w:val="C00000"/>
          <w:sz w:val="32"/>
          <w:szCs w:val="32"/>
        </w:rPr>
        <w:t>抽</w:t>
      </w:r>
      <w:r>
        <w:rPr>
          <w:rFonts w:ascii="仿宋_GB2312" w:hAnsi="仿宋" w:eastAsia="仿宋_GB2312" w:cs="仿宋"/>
          <w:color w:val="C00000"/>
          <w:sz w:val="32"/>
          <w:szCs w:val="32"/>
        </w:rPr>
        <w:t>排水问题：未按要求进行水位、位移、渗流监测，或</w:t>
      </w:r>
      <w:r>
        <w:rPr>
          <w:rFonts w:hint="eastAsia" w:ascii="仿宋_GB2312" w:hAnsi="仿宋" w:eastAsia="仿宋_GB2312" w:cs="仿宋"/>
          <w:color w:val="C00000"/>
          <w:sz w:val="32"/>
          <w:szCs w:val="32"/>
        </w:rPr>
        <w:t>监测频率不满足要求，监测点破坏，导致关键数据不准确</w:t>
      </w:r>
      <w:r>
        <w:rPr>
          <w:rFonts w:ascii="仿宋_GB2312" w:hAnsi="仿宋" w:eastAsia="仿宋_GB2312" w:cs="仿宋"/>
          <w:color w:val="C00000"/>
          <w:sz w:val="32"/>
          <w:szCs w:val="32"/>
        </w:rPr>
        <w:t>；</w:t>
      </w:r>
      <w:r>
        <w:rPr>
          <w:rFonts w:hint="eastAsia" w:ascii="仿宋_GB2312" w:hAnsi="仿宋" w:eastAsia="仿宋_GB2312" w:cs="仿宋"/>
          <w:color w:val="C00000"/>
          <w:sz w:val="32"/>
          <w:szCs w:val="32"/>
        </w:rPr>
        <w:t>或</w:t>
      </w:r>
      <w:r>
        <w:rPr>
          <w:rFonts w:hint="eastAsia" w:ascii="仿宋_GB2312" w:hAnsi="仿宋" w:eastAsia="仿宋_GB2312" w:cs="仿宋"/>
          <w:color w:val="C00000"/>
          <w:kern w:val="0"/>
          <w:sz w:val="32"/>
          <w:szCs w:val="32"/>
        </w:rPr>
        <w:t>监测数据超过预警值或出现围堰失稳破坏征兆时，未立即停止作业并采取应急措施。</w:t>
      </w:r>
      <w:r>
        <w:rPr>
          <w:rFonts w:ascii="仿宋_GB2312" w:hAnsi="仿宋" w:eastAsia="仿宋_GB2312" w:cs="仿宋"/>
          <w:color w:val="C00000"/>
          <w:sz w:val="32"/>
          <w:szCs w:val="32"/>
        </w:rPr>
        <w:t>排水设备配备不足或老化损坏；围堰内外水位差控制不当。</w:t>
      </w:r>
    </w:p>
    <w:p w14:paraId="2A120566">
      <w:pPr>
        <w:spacing w:line="520" w:lineRule="exact"/>
        <w:ind w:firstLine="640" w:firstLineChars="200"/>
        <w:rPr>
          <w:rFonts w:hint="eastAsia" w:ascii="黑体" w:hAnsi="黑体" w:eastAsia="黑体" w:cs="黑体"/>
          <w:color w:val="C00000"/>
          <w:sz w:val="18"/>
          <w:szCs w:val="18"/>
        </w:rPr>
      </w:pPr>
      <w:r>
        <w:rPr>
          <w:rFonts w:hint="eastAsia" w:ascii="仿宋_GB2312" w:hAnsi="仿宋" w:eastAsia="仿宋_GB2312" w:cs="仿宋"/>
          <w:color w:val="C00000"/>
          <w:sz w:val="32"/>
          <w:szCs w:val="32"/>
        </w:rPr>
        <w:t>4、</w:t>
      </w:r>
      <w:r>
        <w:rPr>
          <w:rFonts w:ascii="仿宋_GB2312" w:hAnsi="仿宋" w:eastAsia="仿宋_GB2312" w:cs="仿宋"/>
          <w:color w:val="C00000"/>
          <w:sz w:val="32"/>
          <w:szCs w:val="32"/>
        </w:rPr>
        <w:t>安全防护与作业管理问题：作业区域未设置警示标识或隔离措施；作业人员未正确佩戴防护用品，临水作业未穿救生衣，高处作业未系安全带；监护人员擅离职守；作业人员未经培训上岗，特种作业人员无证操作。</w:t>
      </w:r>
    </w:p>
    <w:p w14:paraId="1065F373">
      <w:pPr>
        <w:spacing w:line="520" w:lineRule="exact"/>
        <w:ind w:firstLine="640" w:firstLineChars="200"/>
        <w:rPr>
          <w:rFonts w:hint="eastAsia" w:ascii="黑体" w:hAnsi="黑体" w:eastAsia="黑体" w:cs="黑体"/>
          <w:color w:val="C00000"/>
          <w:sz w:val="18"/>
          <w:szCs w:val="18"/>
        </w:rPr>
      </w:pPr>
      <w:r>
        <w:rPr>
          <w:rFonts w:hint="eastAsia" w:ascii="仿宋_GB2312" w:hAnsi="仿宋" w:eastAsia="仿宋_GB2312" w:cs="仿宋"/>
          <w:color w:val="C00000"/>
          <w:sz w:val="32"/>
          <w:szCs w:val="32"/>
        </w:rPr>
        <w:t>5、</w:t>
      </w:r>
      <w:r>
        <w:rPr>
          <w:rFonts w:ascii="仿宋_GB2312" w:hAnsi="仿宋" w:eastAsia="仿宋_GB2312" w:cs="仿宋"/>
          <w:color w:val="C00000"/>
          <w:sz w:val="32"/>
          <w:szCs w:val="32"/>
        </w:rPr>
        <w:t>拆除作业问题：拆除未制定专项方案或未按方案执行，拆除顺序错误</w:t>
      </w:r>
      <w:r>
        <w:rPr>
          <w:rFonts w:hint="eastAsia" w:ascii="仿宋_GB2312" w:hAnsi="仿宋" w:eastAsia="仿宋_GB2312" w:cs="仿宋"/>
          <w:color w:val="C00000"/>
          <w:sz w:val="32"/>
          <w:szCs w:val="32"/>
        </w:rPr>
        <w:t>；或拆除时无内外水压保持平衡措施</w:t>
      </w:r>
      <w:r>
        <w:rPr>
          <w:rFonts w:ascii="仿宋_GB2312" w:hAnsi="仿宋" w:eastAsia="仿宋_GB2312" w:cs="仿宋"/>
          <w:color w:val="C00000"/>
          <w:sz w:val="32"/>
          <w:szCs w:val="32"/>
        </w:rPr>
        <w:t>。</w:t>
      </w:r>
    </w:p>
    <w:p w14:paraId="32392AA4">
      <w:pPr>
        <w:spacing w:line="520" w:lineRule="exact"/>
        <w:ind w:firstLine="640" w:firstLineChars="200"/>
        <w:rPr>
          <w:rFonts w:hint="eastAsia" w:ascii="仿宋_GB2312" w:hAnsi="仿宋" w:eastAsia="仿宋_GB2312" w:cs="仿宋"/>
          <w:color w:val="C00000"/>
          <w:sz w:val="32"/>
          <w:szCs w:val="32"/>
        </w:rPr>
      </w:pPr>
      <w:r>
        <w:rPr>
          <w:rFonts w:hint="eastAsia" w:ascii="仿宋_GB2312" w:hAnsi="仿宋" w:eastAsia="仿宋_GB2312" w:cs="仿宋"/>
          <w:color w:val="C00000"/>
          <w:sz w:val="32"/>
          <w:szCs w:val="32"/>
        </w:rPr>
        <w:t>6、</w:t>
      </w:r>
      <w:r>
        <w:rPr>
          <w:rFonts w:ascii="仿宋_GB2312" w:hAnsi="仿宋" w:eastAsia="仿宋_GB2312" w:cs="仿宋"/>
          <w:color w:val="C00000"/>
          <w:sz w:val="32"/>
          <w:szCs w:val="32"/>
        </w:rPr>
        <w:t>应急管理问题：应急预案缺乏可操作性，未配备必要应急救援装备或装备失效；事故发生后盲目施救。</w:t>
      </w:r>
    </w:p>
    <w:p w14:paraId="5625A154">
      <w:pPr>
        <w:widowControl/>
        <w:jc w:val="left"/>
        <w:rPr>
          <w:rFonts w:hint="eastAsia" w:ascii="仿宋_GB2312" w:hAnsi="仿宋" w:eastAsia="仿宋_GB2312" w:cs="仿宋"/>
          <w:color w:val="C00000"/>
          <w:sz w:val="32"/>
          <w:szCs w:val="32"/>
        </w:rPr>
      </w:pPr>
      <w:r>
        <w:rPr>
          <w:rFonts w:hint="eastAsia" w:ascii="仿宋_GB2312" w:hAnsi="仿宋" w:eastAsia="仿宋_GB2312" w:cs="仿宋"/>
          <w:color w:val="C00000"/>
          <w:sz w:val="32"/>
          <w:szCs w:val="32"/>
        </w:rPr>
        <w:br w:type="page"/>
      </w:r>
    </w:p>
    <w:p w14:paraId="7CAB05DA">
      <w:pPr>
        <w:pStyle w:val="2"/>
        <w:spacing w:after="120" w:afterLines="50"/>
        <w:rPr>
          <w:rFonts w:ascii="宋体" w:hAnsi="宋体" w:eastAsia="宋体" w:cs="宋体"/>
          <w:b/>
          <w:bCs w:val="0"/>
        </w:rPr>
      </w:pPr>
      <w:r>
        <w:rPr>
          <w:rFonts w:hint="eastAsia" w:ascii="宋体" w:hAnsi="宋体" w:eastAsia="宋体" w:cs="宋体"/>
          <w:b/>
          <w:bCs w:val="0"/>
        </w:rPr>
        <w:t>顶管工程安全监督交底</w:t>
      </w:r>
      <w:r>
        <w:rPr>
          <w:rFonts w:ascii="黑体" w:hAnsi="黑体" w:eastAsia="黑体" w:cs="黑体"/>
          <w:bCs w:val="0"/>
          <w:sz w:val="32"/>
        </w:rPr>
        <w:t>(</w:t>
      </w:r>
      <w:r>
        <w:rPr>
          <w:rFonts w:hint="eastAsia" w:ascii="黑体" w:hAnsi="黑体" w:eastAsia="黑体" w:cs="黑体"/>
          <w:bCs w:val="0"/>
          <w:sz w:val="32"/>
        </w:rPr>
        <w:t>徐盛</w:t>
      </w:r>
      <w:r>
        <w:rPr>
          <w:rFonts w:ascii="黑体" w:hAnsi="黑体" w:eastAsia="黑体" w:cs="黑体"/>
          <w:bCs w:val="0"/>
          <w:sz w:val="32"/>
        </w:rPr>
        <w:t>)</w:t>
      </w:r>
    </w:p>
    <w:bookmarkEnd w:id="2"/>
    <w:p w14:paraId="480C8371">
      <w:pPr>
        <w:spacing w:line="560" w:lineRule="exact"/>
        <w:ind w:firstLine="643" w:firstLineChars="200"/>
        <w:rPr>
          <w:rFonts w:hint="eastAsia" w:ascii="仿宋" w:hAnsi="仿宋" w:eastAsia="仿宋" w:cs="宋体"/>
          <w:b/>
          <w:bCs/>
          <w:sz w:val="32"/>
          <w:szCs w:val="32"/>
          <w:lang w:eastAsia="zh"/>
        </w:rPr>
      </w:pPr>
      <w:r>
        <w:rPr>
          <w:rFonts w:hint="eastAsia" w:ascii="仿宋" w:hAnsi="仿宋" w:eastAsia="仿宋" w:cs="宋体"/>
          <w:b/>
          <w:bCs/>
          <w:sz w:val="32"/>
          <w:szCs w:val="32"/>
          <w:lang w:eastAsia="zh"/>
        </w:rPr>
        <w:t>一、主要依据</w:t>
      </w:r>
    </w:p>
    <w:p w14:paraId="231B5AA6">
      <w:pPr>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《市政工程施工安全检查标准》（CJJ/T275-2018）《建筑基坑支护技术规程》（JGJ120-2012）</w:t>
      </w:r>
      <w:r>
        <w:rPr>
          <w:rFonts w:hint="eastAsia" w:ascii="仿宋" w:hAnsi="仿宋" w:eastAsia="仿宋" w:cs="宋体"/>
          <w:sz w:val="32"/>
          <w:szCs w:val="32"/>
          <w:lang w:eastAsia="zh"/>
        </w:rPr>
        <w:t>《建筑与市政工程施工现场临时用电安全技术标准》(JGJ/T46-2024)</w:t>
      </w:r>
      <w:r>
        <w:rPr>
          <w:rFonts w:hint="eastAsia" w:ascii="仿宋" w:hAnsi="仿宋" w:eastAsia="仿宋" w:cs="宋体"/>
          <w:sz w:val="32"/>
          <w:szCs w:val="32"/>
        </w:rPr>
        <w:t>《建筑机械使用安全技术规程》（JGJ33-2012）《建筑深基坑工程施工安全技术规范》（JGJ311-2013）《建筑施工高处作业安全技术规范》（JGJ80-2016）《建筑施工起重吊装安全技术规范》（JGJ276-2012）</w:t>
      </w:r>
      <w:r>
        <w:rPr>
          <w:rFonts w:hint="eastAsia" w:ascii="仿宋" w:hAnsi="仿宋" w:eastAsia="仿宋" w:cs="宋体"/>
          <w:sz w:val="32"/>
          <w:szCs w:val="32"/>
          <w:lang w:eastAsia="zh"/>
        </w:rPr>
        <w:t>《房屋建筑和市政基础设施工程危及生产安全施工工艺、设备和材料淘汰目录（第一批）》</w:t>
      </w:r>
      <w:r>
        <w:rPr>
          <w:rFonts w:hint="eastAsia" w:ascii="仿宋" w:hAnsi="仿宋" w:eastAsia="仿宋" w:cs="宋体"/>
          <w:sz w:val="32"/>
          <w:szCs w:val="32"/>
        </w:rPr>
        <w:t>（住建部</w:t>
      </w:r>
      <w:r>
        <w:rPr>
          <w:rFonts w:hint="eastAsia" w:ascii="仿宋" w:hAnsi="仿宋" w:eastAsia="仿宋" w:cs="宋体"/>
          <w:sz w:val="32"/>
          <w:szCs w:val="32"/>
          <w:lang w:eastAsia="zh"/>
        </w:rPr>
        <w:t>公告2021年第214号</w:t>
      </w:r>
      <w:r>
        <w:rPr>
          <w:rFonts w:hint="eastAsia" w:ascii="仿宋" w:hAnsi="仿宋" w:eastAsia="仿宋" w:cs="宋体"/>
          <w:sz w:val="32"/>
          <w:szCs w:val="32"/>
        </w:rPr>
        <w:t>）《</w:t>
      </w:r>
      <w:r>
        <w:rPr>
          <w:rFonts w:hint="eastAsia" w:ascii="仿宋" w:hAnsi="仿宋" w:eastAsia="仿宋" w:cs="宋体"/>
          <w:sz w:val="32"/>
          <w:szCs w:val="32"/>
          <w:lang w:eastAsia="zh"/>
        </w:rPr>
        <w:t>房屋建筑和市政基础设施工程禁止和限制使用技术目录（第二批）》</w:t>
      </w:r>
      <w:r>
        <w:rPr>
          <w:rFonts w:hint="eastAsia" w:ascii="仿宋" w:hAnsi="仿宋" w:eastAsia="仿宋" w:cs="宋体"/>
          <w:sz w:val="32"/>
          <w:szCs w:val="32"/>
        </w:rPr>
        <w:t>（住建部公告2024年第186号）《房屋市政工程有限空间识别及施工安全作业指南（试行）》 （建办质〔2025〕45号）《房屋市政工程生产安全重大事故隐患判定标准（2024版）》（建质规〔2024〕5号）《危险性较大的分部分项工程安全管理规定》（住房城乡建设部令第37号）《住房城乡建设部办公厅关于实施〈危险性较大的分部分项工程安全管理规定〉有关问题的通知》（建办质〔2018〕31号）《危大工程专项施工方案编制指南》（建办质〔2021〕48号）《危险性较大的分部分项工程专项施工方案严重缺陷清单（试行）》（建办质〔2024〕63号）《关于加强城市轨道交通工程关键节点风险管控的通知》（建办质[2017]68号）等相关规定。</w:t>
      </w:r>
    </w:p>
    <w:p w14:paraId="6B71488D">
      <w:pPr>
        <w:spacing w:line="560" w:lineRule="exact"/>
        <w:ind w:firstLine="643" w:firstLineChars="200"/>
        <w:rPr>
          <w:rFonts w:hint="eastAsia" w:ascii="仿宋" w:hAnsi="仿宋" w:eastAsia="仿宋" w:cs="宋体"/>
          <w:b/>
          <w:bCs/>
          <w:sz w:val="32"/>
          <w:szCs w:val="32"/>
        </w:rPr>
      </w:pPr>
      <w:r>
        <w:rPr>
          <w:rFonts w:hint="eastAsia" w:ascii="仿宋" w:hAnsi="仿宋" w:eastAsia="仿宋" w:cs="宋体"/>
          <w:b/>
          <w:bCs/>
          <w:sz w:val="32"/>
          <w:szCs w:val="32"/>
        </w:rPr>
        <w:t>二、管控重点</w:t>
      </w:r>
    </w:p>
    <w:p w14:paraId="73F9368A">
      <w:pPr>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1.工艺使用限制：根据住建部公告2021年第214号，顶管工作竖井钢木支架支护施工工艺属于限制类施工工艺，在基坑深度超过3米和地下水位超过基坑底板高度等两种情形下不得使用。根据住建部公告2024年第186号，人工掘进顶管工艺属于限制类施工工艺，除同时具备以下条件外不得使用：有设计文件；有安全施工专项方案且经专家论证通过；管道内径大于1000mm且小于2000mm；单段顶进长度小于 90m；机械掘进顶管、水力掘进顶管等工艺受限。</w:t>
      </w:r>
    </w:p>
    <w:p w14:paraId="3AAE4CEF">
      <w:pPr>
        <w:widowControl/>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2.施工前程序管控：顶管</w:t>
      </w:r>
      <w:r>
        <w:rPr>
          <w:rFonts w:hint="eastAsia" w:ascii="仿宋" w:hAnsi="仿宋" w:eastAsia="仿宋" w:cs="仿宋"/>
          <w:sz w:val="32"/>
          <w:szCs w:val="32"/>
        </w:rPr>
        <w:t>工程施工前，应按照《湖南省建筑工程开工安全生产条件审查制度》要求，通过危大工程开工安全生产条件审查</w:t>
      </w:r>
      <w:r>
        <w:rPr>
          <w:rFonts w:hint="eastAsia" w:ascii="仿宋" w:hAnsi="仿宋" w:eastAsia="仿宋" w:cs="宋体"/>
          <w:sz w:val="32"/>
          <w:szCs w:val="32"/>
        </w:rPr>
        <w:t>。另外，根据建办质[2017]68号文件，城市轨道交通工程顶管始发和接收工作井基坑开挖施工前、顶管始发和接收施工前必须开展关键节点施工前条件核查，其中顶管施工前条件核查要点包括：</w:t>
      </w:r>
      <w:r>
        <w:rPr>
          <w:rFonts w:hint="eastAsia" w:ascii="仿宋" w:hAnsi="仿宋" w:eastAsia="仿宋" w:cs="仿宋"/>
          <w:sz w:val="32"/>
          <w:szCs w:val="32"/>
        </w:rPr>
        <w:t>勘察成果文件、施工图签字盖章手续齐全以及用于施工现场的施工图加盖施工图审查专用章</w:t>
      </w:r>
      <w:r>
        <w:rPr>
          <w:rFonts w:hint="eastAsia" w:ascii="仿宋" w:hAnsi="仿宋" w:eastAsia="仿宋" w:cs="宋体"/>
          <w:sz w:val="32"/>
          <w:szCs w:val="32"/>
        </w:rPr>
        <w:t>；各类管线、设施、周边建筑物、构筑物已核查清楚，安全措施已落实到位；已</w:t>
      </w:r>
      <w:r>
        <w:rPr>
          <w:rFonts w:hint="eastAsia" w:ascii="仿宋" w:hAnsi="仿宋" w:eastAsia="仿宋" w:cs="仿宋"/>
          <w:sz w:val="32"/>
          <w:szCs w:val="32"/>
        </w:rPr>
        <w:t>组织工程技术人员编制专项施工方案，履行编制、审核、审批程序，专项施工方案已组织专家论证</w:t>
      </w:r>
      <w:r>
        <w:rPr>
          <w:rFonts w:hint="eastAsia" w:ascii="仿宋" w:hAnsi="仿宋" w:eastAsia="仿宋" w:cs="宋体"/>
          <w:sz w:val="32"/>
          <w:szCs w:val="32"/>
        </w:rPr>
        <w:t>；洞门密封止水装置安装完成，外观质量及完整性符合设计要求，加固范围及参数指标符合设计要求；顶管始发托架、后背墙及导轨按方案施工完毕、经验算刚度和强度满足要求且验收合格，导轨稳固；</w:t>
      </w:r>
      <w:r>
        <w:rPr>
          <w:rFonts w:hint="eastAsia" w:ascii="仿宋" w:hAnsi="仿宋" w:eastAsia="仿宋" w:cs="仿宋"/>
          <w:sz w:val="32"/>
          <w:szCs w:val="32"/>
        </w:rPr>
        <w:t>监测单位已编制监测方案，经监测单位技术负责人审核签字并加盖单位公章</w:t>
      </w:r>
      <w:r>
        <w:rPr>
          <w:rFonts w:hint="eastAsia" w:ascii="仿宋" w:hAnsi="仿宋" w:eastAsia="仿宋" w:cs="宋体"/>
          <w:sz w:val="32"/>
          <w:szCs w:val="32"/>
        </w:rPr>
        <w:t>；监测点布置符合要求，已测取初始值；始发前顶管机安装、调试、验收完成；有限空间作业施工准备完成，有害气体检测设备、通风设备已报验合格，通风防尘及防有害气体措施落实；分包合同已签订，</w:t>
      </w:r>
      <w:r>
        <w:rPr>
          <w:rFonts w:hint="eastAsia" w:ascii="仿宋" w:hAnsi="仿宋" w:eastAsia="仿宋" w:cs="仿宋"/>
          <w:sz w:val="32"/>
          <w:szCs w:val="32"/>
        </w:rPr>
        <w:t>分包单位的资质、安全生产许可证、人员资格证书已审查，已签订安全协议</w:t>
      </w:r>
      <w:r>
        <w:rPr>
          <w:rFonts w:hint="eastAsia" w:ascii="仿宋" w:hAnsi="仿宋" w:eastAsia="仿宋" w:cs="宋体"/>
          <w:sz w:val="32"/>
          <w:szCs w:val="32"/>
        </w:rPr>
        <w:t>；</w:t>
      </w:r>
      <w:r>
        <w:rPr>
          <w:rFonts w:hint="eastAsia" w:ascii="仿宋" w:hAnsi="仿宋" w:eastAsia="仿宋" w:cs="仿宋"/>
          <w:sz w:val="32"/>
          <w:szCs w:val="32"/>
        </w:rPr>
        <w:t>建筑施工特种作业人员已取得建筑施工特种作业操作资格证书，已采用人和“三证合一”方式进行核查，</w:t>
      </w:r>
      <w:r>
        <w:rPr>
          <w:rFonts w:hint="eastAsia" w:ascii="华文仿宋" w:hAnsi="华文仿宋" w:eastAsia="华文仿宋" w:cs="华文仿宋"/>
          <w:bCs/>
          <w:color w:val="000000" w:themeColor="text1"/>
          <w:sz w:val="32"/>
          <w:szCs w:val="32"/>
          <w14:textFill>
            <w14:solidFill>
              <w14:schemeClr w14:val="tx1"/>
            </w14:solidFill>
          </w14:textFill>
        </w:rPr>
        <w:t>作业人员已经安全教育、安全技术交底及项目培训考核合格</w:t>
      </w:r>
      <w:r>
        <w:rPr>
          <w:rFonts w:hint="eastAsia" w:ascii="仿宋" w:hAnsi="仿宋" w:eastAsia="仿宋" w:cs="宋体"/>
          <w:sz w:val="32"/>
          <w:szCs w:val="32"/>
        </w:rPr>
        <w:t>；应急物资到位，通讯畅通，应急照明、消防器材符合要求；顶管施工材料及构配件质量证明文件齐全，复试合格；设备机具资料齐全，进场验收记录齐全有效；施工供水、供电满足施工需求。</w:t>
      </w:r>
    </w:p>
    <w:p w14:paraId="4BCA4FF4">
      <w:pPr>
        <w:widowControl/>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3.专项方案编制与论证：顶管工程专项施工方案应按照建办质〔2021〕48号文要求进行编制，专项施工方案存在建办质〔2024〕63号文中通用条款共17条和专用条款共2条严重缺陷情形的，其审核、审查、专家论证应不予通过，其中专用条款分别为无顶管设备选型及适应性评估和无顶管始发与接收的安全技术措施。根据建办质〔2018〕31号文件，顶管法施工的隧道工程属于超过一定规模的危险性较大的分部分项工程，专项施工方案必须按照规定组织专家论证。</w:t>
      </w:r>
    </w:p>
    <w:p w14:paraId="2B6A2965">
      <w:pPr>
        <w:widowControl/>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rPr>
        <w:t>4.工作井施工管控：（1）工作井开挖重点控制开挖顺序、分层厚度及降排水；工作井采用倒挂井壁法施工，严格按专项方案分层开挖，护壁搭接长度满足要求，上层护壁混凝土强度达到要求后方进行下一层土方开挖</w:t>
      </w:r>
      <w:r>
        <w:rPr>
          <w:rFonts w:hint="eastAsia" w:ascii="仿宋" w:hAnsi="仿宋" w:eastAsia="仿宋" w:cs="宋体"/>
          <w:sz w:val="32"/>
          <w:szCs w:val="32"/>
          <w:lang w:eastAsia="zh"/>
        </w:rPr>
        <w:t>。</w:t>
      </w:r>
      <w:r>
        <w:rPr>
          <w:rFonts w:hint="eastAsia" w:ascii="仿宋" w:hAnsi="仿宋" w:eastAsia="仿宋" w:cs="宋体"/>
          <w:sz w:val="32"/>
          <w:szCs w:val="32"/>
        </w:rPr>
        <w:t>（2）工作井周边堆载不得超过支护设计允许范围，机械设备与井边的距离应大于设计安全距离</w:t>
      </w:r>
      <w:r>
        <w:rPr>
          <w:rFonts w:hint="eastAsia" w:ascii="仿宋" w:hAnsi="仿宋" w:eastAsia="仿宋" w:cs="宋体"/>
          <w:sz w:val="32"/>
          <w:szCs w:val="32"/>
          <w:lang w:eastAsia="zh"/>
        </w:rPr>
        <w:t>。</w:t>
      </w:r>
      <w:r>
        <w:rPr>
          <w:rFonts w:hint="eastAsia" w:ascii="仿宋" w:hAnsi="仿宋" w:eastAsia="仿宋" w:cs="宋体"/>
          <w:sz w:val="32"/>
          <w:szCs w:val="32"/>
        </w:rPr>
        <w:t>（3）后背墙平面与掘进轴线应垂直且表面平整坚实，后背墙承载力和刚度满足顶管最大允许顶力和设计要求。（4）工作井施工完毕后，应办理验收手续并在明显位置悬挂验收合格牌。（5）工作井四周地面设置截、排水设施，地面井口周围设置防汛墙和防雨设施，井底封底前设置带盖的集水坑</w:t>
      </w:r>
      <w:r>
        <w:rPr>
          <w:rFonts w:hint="eastAsia" w:ascii="仿宋" w:hAnsi="仿宋" w:eastAsia="仿宋" w:cs="宋体"/>
          <w:sz w:val="32"/>
          <w:szCs w:val="32"/>
          <w:lang w:eastAsia="zh"/>
        </w:rPr>
        <w:t>。</w:t>
      </w:r>
      <w:r>
        <w:rPr>
          <w:rFonts w:hint="eastAsia" w:ascii="仿宋" w:hAnsi="仿宋" w:eastAsia="仿宋" w:cs="宋体"/>
          <w:sz w:val="32"/>
          <w:szCs w:val="32"/>
        </w:rPr>
        <w:t>（6）工作</w:t>
      </w:r>
      <w:r>
        <w:rPr>
          <w:rFonts w:hint="eastAsia" w:ascii="仿宋" w:hAnsi="仿宋" w:eastAsia="仿宋" w:cs="宋体"/>
          <w:sz w:val="32"/>
          <w:szCs w:val="32"/>
          <w:lang w:eastAsia="zh"/>
        </w:rPr>
        <w:t>井</w:t>
      </w:r>
      <w:r>
        <w:rPr>
          <w:rFonts w:hint="eastAsia" w:ascii="仿宋" w:hAnsi="仿宋" w:eastAsia="仿宋" w:cs="宋体"/>
          <w:sz w:val="32"/>
          <w:szCs w:val="32"/>
        </w:rPr>
        <w:t>上方</w:t>
      </w:r>
      <w:r>
        <w:rPr>
          <w:rFonts w:hint="eastAsia" w:ascii="仿宋" w:hAnsi="仿宋" w:eastAsia="仿宋" w:cs="宋体"/>
          <w:sz w:val="32"/>
          <w:szCs w:val="32"/>
          <w:lang w:eastAsia="zh"/>
        </w:rPr>
        <w:t>设置防护栏杆，</w:t>
      </w:r>
      <w:r>
        <w:rPr>
          <w:rFonts w:hint="eastAsia" w:ascii="仿宋" w:hAnsi="仿宋" w:eastAsia="仿宋" w:cs="宋体"/>
          <w:sz w:val="32"/>
          <w:szCs w:val="32"/>
        </w:rPr>
        <w:t>并</w:t>
      </w:r>
      <w:r>
        <w:rPr>
          <w:rFonts w:hint="eastAsia" w:ascii="仿宋" w:hAnsi="仿宋" w:eastAsia="仿宋" w:cs="宋体"/>
          <w:sz w:val="32"/>
          <w:szCs w:val="32"/>
          <w:lang w:eastAsia="zh"/>
        </w:rPr>
        <w:t>设置专用上下</w:t>
      </w:r>
      <w:r>
        <w:rPr>
          <w:rFonts w:hint="eastAsia" w:ascii="仿宋" w:hAnsi="仿宋" w:eastAsia="仿宋" w:cs="宋体"/>
          <w:sz w:val="32"/>
          <w:szCs w:val="32"/>
        </w:rPr>
        <w:t>通</w:t>
      </w:r>
      <w:r>
        <w:rPr>
          <w:rFonts w:hint="eastAsia" w:ascii="仿宋" w:hAnsi="仿宋" w:eastAsia="仿宋" w:cs="宋体"/>
          <w:sz w:val="32"/>
          <w:szCs w:val="32"/>
          <w:lang w:eastAsia="zh"/>
        </w:rPr>
        <w:t>道。</w:t>
      </w:r>
    </w:p>
    <w:p w14:paraId="22C2D4CB">
      <w:pPr>
        <w:widowControl/>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5.顶管掘进控制：（1）顶管施工前应对施工沿线进行踏勘，了解</w:t>
      </w:r>
      <w:r>
        <w:rPr>
          <w:rFonts w:hint="eastAsia" w:ascii="仿宋" w:hAnsi="仿宋" w:eastAsia="仿宋" w:cs="仿宋"/>
          <w:sz w:val="32"/>
          <w:szCs w:val="32"/>
        </w:rPr>
        <w:t>各类管线、设施和周边建筑物、构筑物</w:t>
      </w:r>
      <w:r>
        <w:rPr>
          <w:rFonts w:hint="eastAsia" w:ascii="仿宋" w:hAnsi="仿宋" w:eastAsia="仿宋" w:cs="宋体"/>
          <w:sz w:val="32"/>
          <w:szCs w:val="32"/>
        </w:rPr>
        <w:t>和地下障碍物情况。（2）制定超前地质预报方案，并开展超前地质预报工作，对不良地质按要求处理到位。（3）顶管设备、配套设备和辅助系统应出具产品合格证且安装后验收合格；</w:t>
      </w:r>
      <w:r>
        <w:rPr>
          <w:rFonts w:hint="eastAsia" w:ascii="仿宋" w:hAnsi="仿宋" w:eastAsia="仿宋" w:cs="宋体"/>
          <w:sz w:val="32"/>
          <w:szCs w:val="32"/>
          <w:lang w:eastAsia="zh"/>
        </w:rPr>
        <w:t>设备</w:t>
      </w:r>
      <w:r>
        <w:rPr>
          <w:rFonts w:hint="eastAsia" w:ascii="仿宋" w:hAnsi="仿宋" w:eastAsia="仿宋" w:cs="宋体"/>
          <w:sz w:val="32"/>
          <w:szCs w:val="32"/>
        </w:rPr>
        <w:t>的</w:t>
      </w:r>
      <w:r>
        <w:rPr>
          <w:rFonts w:hint="eastAsia" w:ascii="仿宋" w:hAnsi="仿宋" w:eastAsia="仿宋" w:cs="宋体"/>
          <w:sz w:val="32"/>
          <w:szCs w:val="32"/>
          <w:lang w:eastAsia="zh"/>
        </w:rPr>
        <w:t>性能、限位、制动装置齐全有效，管道接口、止水密封圈、纠偏系统安装到位，顶进前进行空载、带载试运转；</w:t>
      </w:r>
      <w:r>
        <w:rPr>
          <w:rFonts w:hint="eastAsia" w:ascii="仿宋" w:hAnsi="仿宋" w:eastAsia="仿宋" w:cs="宋体"/>
          <w:sz w:val="32"/>
          <w:szCs w:val="32"/>
        </w:rPr>
        <w:t>设备、装置在使用过程中定期进行检查、维修和保养。（4）施工前应对后背土体进行允许抗力验算，验算不满足要求时应对后背土体进行加固。（5）顶进装置安装轴线应与管道轴线平行、对称。（6）顶铁应在导轨上滑动平稳且无阻滞。（7）顶进作业时，作业人员不得在顶铁上方及侧面停留，并随时观察顶铁有无异常。（8）千斤顶和油表应配套使用，不得混用。（9）顶进中如发现油压突然增高，应立即停止顶进，检查原因并处理后方可继续顶进。（10）千斤顶活塞退回时，油压应根据操作规程控制。（11）如顶管采用人工掘进，严禁挖土人员超出工具管进行作业。（12）一次顶进距离大于100米时，应采用中继间技术。（13）顶管作业过程必须建立交接班制度。（14）顶进严控轴线与高程偏差，严禁大角度纠偏。（15）机头到达接收井前提前校核姿态，确保偏差在允许范围内，接收井洞口提前进行土体加固与止水处理。（16）气压平衡、泥水平衡、土压平衡顶管排放的泥浆应采用管道、排泥泵或运输小车及时有组织外运、排放，采用泥水排放出泥时，应设置泥浆沉淀池。（17）现场存放的管节底部两侧应侧向固定，确保放置后管节不滚动。</w:t>
      </w:r>
    </w:p>
    <w:p w14:paraId="276A4611">
      <w:pPr>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6.安全监测管理：建设单位按规定委托具有相应勘察资质的单位进行第三方监测，施工单位同步进行施工监测。</w:t>
      </w:r>
      <w:r>
        <w:rPr>
          <w:rFonts w:hint="eastAsia" w:ascii="仿宋" w:hAnsi="仿宋" w:eastAsia="仿宋" w:cs="仿宋"/>
          <w:sz w:val="32"/>
          <w:szCs w:val="32"/>
        </w:rPr>
        <w:t>监测单位按照监测方案开展监测，及时向建设单位报送监测成果，并对监测成果负责；发现异常时，监测单位及时向建设、设计、施工、监理单位报告情况，建设单位应</w:t>
      </w:r>
      <w:r>
        <w:rPr>
          <w:rFonts w:hint="eastAsia" w:ascii="仿宋" w:hAnsi="仿宋" w:eastAsia="仿宋" w:cs="仿宋"/>
          <w:color w:val="000000" w:themeColor="text1"/>
          <w:sz w:val="32"/>
          <w:szCs w:val="32"/>
          <w14:textFill>
            <w14:solidFill>
              <w14:schemeClr w14:val="tx1"/>
            </w14:solidFill>
          </w14:textFill>
        </w:rPr>
        <w:t>组织相关单位及时采取处置措施</w:t>
      </w:r>
      <w:r>
        <w:rPr>
          <w:rFonts w:hint="eastAsia" w:ascii="仿宋" w:hAnsi="仿宋" w:eastAsia="仿宋" w:cs="宋体"/>
          <w:sz w:val="32"/>
          <w:szCs w:val="32"/>
        </w:rPr>
        <w:t>。</w:t>
      </w:r>
    </w:p>
    <w:p w14:paraId="330EB73E">
      <w:pPr>
        <w:spacing w:line="560" w:lineRule="exact"/>
        <w:ind w:firstLine="640" w:firstLineChars="200"/>
        <w:rPr>
          <w:rFonts w:hint="eastAsia" w:ascii="仿宋" w:hAnsi="仿宋" w:eastAsia="仿宋" w:cs="宋体"/>
          <w:kern w:val="0"/>
          <w:sz w:val="32"/>
          <w:szCs w:val="32"/>
        </w:rPr>
      </w:pPr>
      <w:r>
        <w:rPr>
          <w:rFonts w:hint="eastAsia" w:ascii="仿宋" w:hAnsi="仿宋" w:eastAsia="仿宋" w:cs="宋体"/>
          <w:kern w:val="0"/>
          <w:sz w:val="32"/>
          <w:szCs w:val="32"/>
        </w:rPr>
        <w:t>7.有限空间作业管理：</w:t>
      </w:r>
      <w:r>
        <w:rPr>
          <w:rFonts w:hint="eastAsia" w:ascii="仿宋" w:hAnsi="仿宋" w:eastAsia="仿宋" w:cs="宋体"/>
          <w:sz w:val="32"/>
          <w:szCs w:val="32"/>
        </w:rPr>
        <w:t>对有限空间作业进行危害因素辨识，对存在的风险制定管控措施；对有限空间作业场所进行有效防护并设置警示标识，出入口设置危险有害因素告知牌；配备满足有限空间作业需求的个体防护、通风、检测、通讯和照明装备；有限空间作业履行“作业审批制度”，对施工人员进行专项安全教育培训，执行“先通风、再检测、后作业”原则，有限空间作业现场安排专人监护和专职安全员管理；地面与顶管工作面之间应设置联络通信设备；进管电缆应悬挂于管壁，井内和管内照明采用低压防爆灯，管内供电系统安装有效漏电保护装置。</w:t>
      </w:r>
    </w:p>
    <w:p w14:paraId="5698A0C9">
      <w:pPr>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8.起重吊装管控：（1）根据住建部公告2024年第186号，简易吊机属于限制类施工设备，顶管工作井口起重设备应使用门式起重机、履带吊、汽车吊。（2）起重机械设备制造许可证、产品合格证、使用说明书齐全，使用前进行验收；额定起重量不小于3吨（纳入特种设备目录）的门式起重机，应</w:t>
      </w:r>
      <w:r>
        <w:rPr>
          <w:rFonts w:hint="eastAsia" w:ascii="华文仿宋" w:hAnsi="华文仿宋" w:eastAsia="华文仿宋" w:cs="华文仿宋"/>
          <w:bCs/>
          <w:color w:val="000000" w:themeColor="text1"/>
          <w:sz w:val="32"/>
          <w:szCs w:val="32"/>
          <w14:textFill>
            <w14:solidFill>
              <w14:schemeClr w14:val="tx1"/>
            </w14:solidFill>
          </w14:textFill>
        </w:rPr>
        <w:t>严格落实建筑起重机械备案、使用登记电子证照制度</w:t>
      </w:r>
      <w:r>
        <w:rPr>
          <w:rFonts w:hint="eastAsia" w:ascii="仿宋" w:hAnsi="仿宋" w:eastAsia="仿宋" w:cs="宋体"/>
          <w:sz w:val="32"/>
          <w:szCs w:val="32"/>
        </w:rPr>
        <w:t>。（3）起重机械设备安全装置齐全，钢丝绳、卷筒、滑轮完好，起重作业前应进行试吊，下管节时应穿保险钢丝绳，起重机械与架空线路安全距离符合国家现行相关标准要求，起重机械设备操作人员持有效特种作业操作证，吊装作业过程设置安全警戒区并专人监护，严禁起重臂及吊物下方有人员作业、停留或通过。</w:t>
      </w:r>
    </w:p>
    <w:p w14:paraId="385D2200">
      <w:pPr>
        <w:spacing w:line="560" w:lineRule="exact"/>
        <w:ind w:firstLine="643" w:firstLineChars="200"/>
        <w:rPr>
          <w:rFonts w:hint="eastAsia" w:ascii="仿宋" w:hAnsi="仿宋" w:eastAsia="仿宋" w:cs="宋体"/>
          <w:sz w:val="32"/>
          <w:szCs w:val="32"/>
          <w:lang w:eastAsia="zh"/>
        </w:rPr>
      </w:pPr>
      <w:r>
        <w:rPr>
          <w:rFonts w:hint="eastAsia" w:ascii="仿宋" w:hAnsi="仿宋" w:eastAsia="仿宋" w:cs="宋体"/>
          <w:b/>
          <w:bCs/>
          <w:sz w:val="32"/>
          <w:szCs w:val="32"/>
          <w:lang w:eastAsia="zh"/>
        </w:rPr>
        <w:t>三、常见问题</w:t>
      </w:r>
    </w:p>
    <w:p w14:paraId="67EE31D0">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1.未开展地下管线调查，施工导致燃气管、电力管破损，易引发爆炸、触电、泄漏</w:t>
      </w:r>
      <w:r>
        <w:rPr>
          <w:rFonts w:hint="eastAsia" w:ascii="仿宋" w:hAnsi="仿宋" w:eastAsia="仿宋" w:cs="宋体"/>
          <w:sz w:val="32"/>
          <w:szCs w:val="32"/>
        </w:rPr>
        <w:t>等</w:t>
      </w:r>
      <w:r>
        <w:rPr>
          <w:rFonts w:hint="eastAsia" w:ascii="仿宋" w:hAnsi="仿宋" w:eastAsia="仿宋" w:cs="宋体"/>
          <w:sz w:val="32"/>
          <w:szCs w:val="32"/>
          <w:lang w:eastAsia="zh"/>
        </w:rPr>
        <w:t>事故。</w:t>
      </w:r>
    </w:p>
    <w:p w14:paraId="37F9F445">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2.工作井支护不及时、超挖、堆载超限</w:t>
      </w:r>
      <w:r>
        <w:rPr>
          <w:rFonts w:hint="eastAsia" w:ascii="仿宋" w:hAnsi="仿宋" w:eastAsia="仿宋" w:cs="宋体"/>
          <w:sz w:val="32"/>
          <w:szCs w:val="32"/>
        </w:rPr>
        <w:t>等</w:t>
      </w:r>
      <w:r>
        <w:rPr>
          <w:rFonts w:hint="eastAsia" w:ascii="仿宋" w:hAnsi="仿宋" w:eastAsia="仿宋" w:cs="宋体"/>
          <w:sz w:val="32"/>
          <w:szCs w:val="32"/>
          <w:lang w:eastAsia="zh"/>
        </w:rPr>
        <w:t>，易导致井壁坍塌、地面塌陷。</w:t>
      </w:r>
    </w:p>
    <w:p w14:paraId="0B1CD0A3">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3.有限空间未通风、未检测即下井作业，易发生人员中毒、窒息</w:t>
      </w:r>
      <w:r>
        <w:rPr>
          <w:rFonts w:hint="eastAsia" w:ascii="仿宋" w:hAnsi="仿宋" w:eastAsia="仿宋" w:cs="宋体"/>
          <w:sz w:val="32"/>
          <w:szCs w:val="32"/>
        </w:rPr>
        <w:t>等事故</w:t>
      </w:r>
      <w:r>
        <w:rPr>
          <w:rFonts w:hint="eastAsia" w:ascii="仿宋" w:hAnsi="仿宋" w:eastAsia="仿宋" w:cs="宋体"/>
          <w:sz w:val="32"/>
          <w:szCs w:val="32"/>
          <w:lang w:eastAsia="zh"/>
        </w:rPr>
        <w:t>。</w:t>
      </w:r>
    </w:p>
    <w:p w14:paraId="6B7CC153">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4.井口无防护、无盖板、无监护，易发生高处坠落、物体打击</w:t>
      </w:r>
      <w:r>
        <w:rPr>
          <w:rFonts w:hint="eastAsia" w:ascii="仿宋" w:hAnsi="仿宋" w:eastAsia="仿宋" w:cs="宋体"/>
          <w:sz w:val="32"/>
          <w:szCs w:val="32"/>
        </w:rPr>
        <w:t>等</w:t>
      </w:r>
      <w:r>
        <w:rPr>
          <w:rFonts w:hint="eastAsia" w:ascii="仿宋" w:hAnsi="仿宋" w:eastAsia="仿宋" w:cs="宋体"/>
          <w:sz w:val="32"/>
          <w:szCs w:val="32"/>
          <w:lang w:eastAsia="zh"/>
        </w:rPr>
        <w:t>事故。</w:t>
      </w:r>
    </w:p>
    <w:p w14:paraId="2C116B44">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5.管道内未使用安全电压、电缆破损，易造成触电事故。</w:t>
      </w:r>
    </w:p>
    <w:p w14:paraId="334CC893">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6.顶进纠偏不及时，易导致管道破损、地面沉降。</w:t>
      </w:r>
    </w:p>
    <w:p w14:paraId="23B78413">
      <w:pPr>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lang w:eastAsia="zh"/>
        </w:rPr>
        <w:t>7.始发、接收端头未</w:t>
      </w:r>
      <w:r>
        <w:rPr>
          <w:rFonts w:hint="eastAsia" w:ascii="仿宋" w:hAnsi="仿宋" w:eastAsia="仿宋" w:cs="宋体"/>
          <w:sz w:val="32"/>
          <w:szCs w:val="32"/>
        </w:rPr>
        <w:t>按要求进行注浆加固处理</w:t>
      </w:r>
      <w:r>
        <w:rPr>
          <w:rFonts w:hint="eastAsia" w:ascii="仿宋" w:hAnsi="仿宋" w:eastAsia="仿宋" w:cs="宋体"/>
          <w:sz w:val="32"/>
          <w:szCs w:val="32"/>
          <w:lang w:eastAsia="zh"/>
        </w:rPr>
        <w:t>，顶进时易出现洞口涌水、涌砂、土体坍塌。</w:t>
      </w:r>
      <w:r>
        <w:rPr>
          <w:rFonts w:ascii="Courier New" w:hAnsi="Courier New" w:eastAsia="仿宋" w:cs="Courier New"/>
          <w:sz w:val="32"/>
          <w:szCs w:val="32"/>
        </w:rPr>
        <w:t>‌</w:t>
      </w:r>
    </w:p>
    <w:p w14:paraId="52528A1E">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rPr>
        <w:t>8.</w:t>
      </w:r>
      <w:r>
        <w:rPr>
          <w:rFonts w:hint="eastAsia" w:ascii="仿宋" w:hAnsi="仿宋" w:eastAsia="仿宋" w:cs="宋体"/>
          <w:sz w:val="32"/>
          <w:szCs w:val="32"/>
          <w:lang w:eastAsia="zh"/>
        </w:rPr>
        <w:t>因土压失衡</w:t>
      </w:r>
      <w:r>
        <w:rPr>
          <w:rFonts w:hint="eastAsia" w:ascii="仿宋" w:hAnsi="仿宋" w:eastAsia="仿宋" w:cs="宋体"/>
          <w:sz w:val="32"/>
          <w:szCs w:val="32"/>
        </w:rPr>
        <w:t>、出土量超标</w:t>
      </w:r>
      <w:r>
        <w:rPr>
          <w:rFonts w:hint="eastAsia" w:ascii="仿宋" w:hAnsi="仿宋" w:eastAsia="仿宋" w:cs="宋体"/>
          <w:sz w:val="32"/>
          <w:szCs w:val="32"/>
          <w:lang w:eastAsia="zh"/>
        </w:rPr>
        <w:t>，易</w:t>
      </w:r>
      <w:r>
        <w:rPr>
          <w:rFonts w:hint="eastAsia" w:ascii="仿宋" w:hAnsi="仿宋" w:eastAsia="仿宋" w:cs="宋体"/>
          <w:sz w:val="32"/>
          <w:szCs w:val="32"/>
        </w:rPr>
        <w:t>导致</w:t>
      </w:r>
      <w:r>
        <w:rPr>
          <w:rFonts w:hint="eastAsia" w:ascii="仿宋" w:hAnsi="仿宋" w:eastAsia="仿宋" w:cs="宋体"/>
          <w:sz w:val="32"/>
          <w:szCs w:val="32"/>
          <w:lang w:eastAsia="zh"/>
        </w:rPr>
        <w:t>地面出现塌陷。</w:t>
      </w:r>
      <w:r>
        <w:rPr>
          <w:rFonts w:ascii="Courier New" w:hAnsi="Courier New" w:eastAsia="仿宋" w:cs="Courier New"/>
          <w:sz w:val="32"/>
          <w:szCs w:val="32"/>
          <w:lang w:eastAsia="zh"/>
        </w:rPr>
        <w:t>‌‌</w:t>
      </w:r>
    </w:p>
    <w:p w14:paraId="43898A19">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rPr>
        <w:t>9</w:t>
      </w:r>
      <w:r>
        <w:rPr>
          <w:rFonts w:hint="eastAsia" w:ascii="仿宋" w:hAnsi="仿宋" w:eastAsia="仿宋" w:cs="宋体"/>
          <w:sz w:val="32"/>
          <w:szCs w:val="32"/>
          <w:lang w:eastAsia="zh"/>
        </w:rPr>
        <w:t>.贯通后未及时进行壁后回填注浆，管道周边空隙未填充，易引发后期地面沉降、管线拉裂、路面塌陷。</w:t>
      </w:r>
    </w:p>
    <w:p w14:paraId="0E83BBD3">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rPr>
        <w:t>10</w:t>
      </w:r>
      <w:r>
        <w:rPr>
          <w:rFonts w:hint="eastAsia" w:ascii="仿宋" w:hAnsi="仿宋" w:eastAsia="仿宋" w:cs="宋体"/>
          <w:sz w:val="32"/>
          <w:szCs w:val="32"/>
          <w:lang w:eastAsia="zh"/>
        </w:rPr>
        <w:t>.注浆压力失控、超压注浆，易导致地面隆起、管线挤压破损、浆液窜入既有管网。</w:t>
      </w:r>
    </w:p>
    <w:p w14:paraId="6EC93FDA">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rPr>
        <w:t>11</w:t>
      </w:r>
      <w:r>
        <w:rPr>
          <w:rFonts w:hint="eastAsia" w:ascii="仿宋" w:hAnsi="仿宋" w:eastAsia="仿宋" w:cs="宋体"/>
          <w:sz w:val="32"/>
          <w:szCs w:val="32"/>
          <w:lang w:eastAsia="zh"/>
        </w:rPr>
        <w:t>.注浆管路老化、接头不牢，易发生爆管、高压喷浆伤人。</w:t>
      </w:r>
    </w:p>
    <w:p w14:paraId="39A382DC">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1</w:t>
      </w:r>
      <w:r>
        <w:rPr>
          <w:rFonts w:hint="eastAsia" w:ascii="仿宋" w:hAnsi="仿宋" w:eastAsia="仿宋" w:cs="宋体"/>
          <w:sz w:val="32"/>
          <w:szCs w:val="32"/>
        </w:rPr>
        <w:t>2</w:t>
      </w:r>
      <w:r>
        <w:rPr>
          <w:rFonts w:hint="eastAsia" w:ascii="仿宋" w:hAnsi="仿宋" w:eastAsia="仿宋" w:cs="宋体"/>
          <w:sz w:val="32"/>
          <w:szCs w:val="32"/>
          <w:lang w:eastAsia="zh"/>
        </w:rPr>
        <w:t>.废弃浆液、冲洗废水随意排放，易造成环境污染、场地泥泞、管网堵塞。</w:t>
      </w:r>
    </w:p>
    <w:p w14:paraId="50E004B8">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13.起重吊装作业过程不规范、起重机械设备基础不稳定，易导致起重机械设备倾覆、吊物坠落伤人等事故。</w:t>
      </w:r>
    </w:p>
    <w:p w14:paraId="3D21D5AB">
      <w:pPr>
        <w:widowControl/>
        <w:jc w:val="left"/>
        <w:rPr>
          <w:rFonts w:ascii="宋体" w:hAnsi="宋体" w:cs="宋体"/>
          <w:bCs/>
          <w:sz w:val="32"/>
          <w:szCs w:val="32"/>
          <w:lang w:eastAsia="zh"/>
        </w:rPr>
      </w:pPr>
      <w:r>
        <w:rPr>
          <w:rFonts w:hint="eastAsia" w:ascii="宋体" w:hAnsi="宋体" w:cs="宋体"/>
          <w:sz w:val="32"/>
          <w:szCs w:val="32"/>
          <w:lang w:eastAsia="zh"/>
        </w:rPr>
        <w:br w:type="page"/>
      </w:r>
    </w:p>
    <w:p w14:paraId="560EDE42">
      <w:pPr>
        <w:pStyle w:val="2"/>
        <w:spacing w:after="120" w:afterLines="50"/>
        <w:rPr>
          <w:rFonts w:hint="eastAsia" w:hAnsi="仿宋"/>
          <w:b/>
        </w:rPr>
      </w:pPr>
      <w:r>
        <w:rPr>
          <w:rFonts w:hint="eastAsia"/>
        </w:rPr>
        <w:t>高处作业安全监督交底（张志威）</w:t>
      </w:r>
    </w:p>
    <w:p w14:paraId="13715B5A">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一、主要依据</w:t>
      </w:r>
    </w:p>
    <w:p w14:paraId="7ECA493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《建筑施工高处作业安全技术规范》（JGJ80-2016）《高处作业分级》（GB 3608-2025）《建筑与市政施工现场安全卫生与职业健康通用规范》（GB 55034-2022）《坠落防护 安全带》（GB 6095-2021）《安全帽》GB 2811-2019《安全网》（GB 5725-2019）《建筑施工安全检查标准》（JGJ59-2011）《市政工程施工安全检查标准》（CJJ/T275-2018）《房屋市政工程生产安全重大事故隐患判定标准（2024版）》《建筑工程预防高处坠落事故专项整治工作方案》（湘建建函〔2017〕57号）《建筑施工预防高处坠落、边坡坍塌专项治理行动实施方案》（湘质安监字〔2024〕8号）省质安监总站《</w:t>
      </w:r>
      <w:bookmarkStart w:id="3" w:name="OLE_LINK5"/>
      <w:bookmarkStart w:id="4" w:name="OLE_LINK6"/>
      <w:r>
        <w:rPr>
          <w:rFonts w:hint="eastAsia" w:ascii="仿宋" w:hAnsi="仿宋" w:eastAsia="仿宋" w:cs="仿宋"/>
          <w:sz w:val="32"/>
          <w:szCs w:val="32"/>
        </w:rPr>
        <w:t>关于持续推进建筑施工预防高处坠落常态化治理工作的提示函</w:t>
      </w:r>
      <w:bookmarkEnd w:id="3"/>
      <w:bookmarkEnd w:id="4"/>
      <w:r>
        <w:rPr>
          <w:rFonts w:hint="eastAsia" w:ascii="仿宋" w:hAnsi="仿宋" w:eastAsia="仿宋" w:cs="仿宋"/>
          <w:sz w:val="32"/>
          <w:szCs w:val="32"/>
        </w:rPr>
        <w:t>》等规定。</w:t>
      </w:r>
    </w:p>
    <w:p w14:paraId="31677B54">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二、管控重点</w:t>
      </w:r>
    </w:p>
    <w:p w14:paraId="69F30FC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（一）安全生产责任制落实</w:t>
      </w:r>
    </w:p>
    <w:p w14:paraId="2CB0D2A2">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建设单位及时足额支付安全防护、文明措施费用,督促施工单位落实绿色施工、安全防护等措施。施工单位应建立高处作业管理制度和操作规程，在主要通道口、施工作业场所、工人宿舍区以及学习、休闲场所等醒目位置粘贴防高处坠落“登高十不准”、预防高坠“十必须”,明确各岗位在高处作业安全管理中的职责,将安全生产责任层层分解落实到人。</w:t>
      </w:r>
    </w:p>
    <w:p w14:paraId="168D5111">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（二）高处作业专项措施</w:t>
      </w:r>
    </w:p>
    <w:p w14:paraId="466BC63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施工单位应针对工程特点和施工工艺编制切实可行的高处作业专项施工安全措施，按规定进行审核、审批,严格按照专项施工安全措施组织施工,落实交底、验收等制度。</w:t>
      </w:r>
    </w:p>
    <w:p w14:paraId="2F9F883E">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（三）安全教育培训</w:t>
      </w:r>
    </w:p>
    <w:p w14:paraId="163A73B7">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落实“一会三卡”制度,开展全员班前教育,对风险较大的岗位制作安全检查卡、安全作业卡、应急处置卡,告知岗位安全检查要点、安全作业流程、应急处置方法,并组织实施。对高处作业人员进行三级安全教育培训,使其熟悉高处作业安全操作规程,掌握安全防护知识和技能。高处作业人员应经培训考核合格后上岗,特种作业人员持证上岗，定期组织高处作业人员进行安全教育培训和应急演练。</w:t>
      </w:r>
    </w:p>
    <w:p w14:paraId="5B75E801">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（四）现场实体方面</w:t>
      </w:r>
    </w:p>
    <w:p w14:paraId="555254DD">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临边及洞口防护应符合相关规范要求。当在坠落高度基准面2米及以上进行临边作业时，应在临空一侧设置防护栏杆，并采用密目式安全网或工具式栏板进行封闭。对于分层施工的楼梯口、楼梯平台及梯段边，均应安装防护栏杆。临边、洞口防护设施严禁擅自拆除、挪动；因作业需要临时拆除的，必须经项目负责人审批，采取可靠的临时防护措施，作业完成后立即恢复，全程安排专人监护。</w:t>
      </w:r>
    </w:p>
    <w:p w14:paraId="528E8EB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洞口作业时，应采取防坠落措施：当竖向洞口短边边长小于500mm时，应采取封堵措施；当垂直洞口短边边长大于或等于500mm时，应在临空一侧设置高度不小于1.2m的防护栏杆，并应采用密目式安全立网或工具式栏板封闭，设置挡脚板。当非竖向洞口短边边长为25mm～500mm时，应采用承载力满足使用要求的盖板覆盖，盖板四周搁置应均衡，且应防止盖板移位；当非竖向洞口短边边长为500mm～1500mm时，应采用盖板覆盖或防护栏杆等措施，并应固定牢固；当非竖向洞口短边边长大于或等于1500mm时，应在洞口作业侧设置高度不小于1.2m的防护栏杆，洞口应采用安全平网封闭。</w:t>
      </w:r>
    </w:p>
    <w:p w14:paraId="42058939">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攀登与悬空作业中使用的登高、攀登、防坠落设施应在专项方案中明确，并符合相关标准规范要求。对深基坑施工应设置扶梯、入坑踏步及专用载人设备或斜道等，严禁沿坑壁、支撑或乘运土工具上下；对模板支撑体系搭设和拆除，应按规定程序进行，不得在连接件和支撑件上攀登上下，不得在上下同一垂直面上装拆模板；对2m以上模板支撑体系搭设与拆除、钢筋绑扎、预应力张拉、混凝土浇筑、钢结构安装等结构施工以及装修、安装工程等高处作业时应设置操作平台，并有可靠立足点；对坡度大于25度的屋面作业，当无外脚手架时应设置高度不低于1.5m的防护栏杆，并采用密目式安全立网封闭；门窗作业时应有防坠落措施，高处安装作业不得使用座板式单人吊具等。</w:t>
      </w:r>
    </w:p>
    <w:p w14:paraId="696E36E2">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4.施工现场立体交叉作业时的安全防护应符合标准规范要求。对下层作业的位置处于坠落半径之内应设置安全防护棚及警戒隔离区；对施工现场人员进出的通道口应搭设防护棚；对起重设备的起重机臂回转范围之内的通道顶部应设置双层防护棚；悬挑式防护棚的一端应与建筑物结构可靠连接（卸荷钢丝绳或拉杆必须经过复核计算），不得在防护棚棚顶堆放物料。</w:t>
      </w:r>
    </w:p>
    <w:p w14:paraId="443C5A83">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5.移动式操作平台面积不应大于10</w:t>
      </w:r>
      <w:bookmarkStart w:id="5" w:name="OLE_LINK1"/>
      <w:r>
        <w:rPr>
          <w:rFonts w:hint="eastAsia" w:ascii="仿宋" w:hAnsi="仿宋" w:eastAsia="仿宋" w:cs="仿宋"/>
          <w:sz w:val="32"/>
          <w:szCs w:val="32"/>
        </w:rPr>
        <w:t>m</w:t>
      </w:r>
      <w:r>
        <w:rPr>
          <w:rFonts w:ascii="Calibri" w:hAnsi="Calibri" w:eastAsia="仿宋" w:cs="Calibri"/>
          <w:sz w:val="32"/>
          <w:szCs w:val="32"/>
        </w:rPr>
        <w:t>²</w:t>
      </w:r>
      <w:bookmarkEnd w:id="5"/>
      <w:r>
        <w:rPr>
          <w:rFonts w:hint="eastAsia" w:ascii="仿宋" w:hAnsi="仿宋" w:eastAsia="仿宋" w:cs="仿宋"/>
          <w:sz w:val="32"/>
          <w:szCs w:val="32"/>
        </w:rPr>
        <w:t>，高度不应大于5m，高宽比不大于2，施工荷载不大于1.5KN/m</w:t>
      </w:r>
      <w:r>
        <w:rPr>
          <w:rFonts w:ascii="Calibri" w:hAnsi="Calibri" w:eastAsia="仿宋" w:cs="Calibri"/>
          <w:sz w:val="32"/>
          <w:szCs w:val="32"/>
        </w:rPr>
        <w:t>²</w:t>
      </w:r>
      <w:r>
        <w:rPr>
          <w:rFonts w:hint="eastAsia" w:ascii="仿宋" w:hAnsi="仿宋" w:eastAsia="仿宋" w:cs="仿宋"/>
          <w:sz w:val="32"/>
          <w:szCs w:val="32"/>
        </w:rPr>
        <w:t>。移动式操作平台的轮子与平台架体连接应牢固，立柱底端离地面不得大于80mm，行走轮和导向轮应配有制动器或刹车闸等制动措施。操作平台四周应设置高度≥1.2m防护栏杆，并应设置登高扶梯；移动式操作平台移动时，操作平台上不得站人。</w:t>
      </w:r>
    </w:p>
    <w:p w14:paraId="5A69285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6.落地式操作平台架体高度不应大于15m，高宽比不应大于3:1，施工荷载不应大于2.0kN／m</w:t>
      </w:r>
      <w:r>
        <w:rPr>
          <w:rFonts w:hint="eastAsia" w:ascii="仿宋" w:hAnsi="仿宋" w:eastAsia="仿宋" w:cs="仿宋"/>
          <w:sz w:val="32"/>
          <w:szCs w:val="32"/>
          <w:vertAlign w:val="superscript"/>
        </w:rPr>
        <w:t>2</w:t>
      </w:r>
      <w:r>
        <w:rPr>
          <w:rFonts w:hint="eastAsia" w:ascii="仿宋" w:hAnsi="仿宋" w:eastAsia="仿宋" w:cs="仿宋"/>
          <w:sz w:val="32"/>
          <w:szCs w:val="32"/>
        </w:rPr>
        <w:t>；当接料平台的施工荷载大于2.0kN／m</w:t>
      </w:r>
      <w:r>
        <w:rPr>
          <w:rFonts w:hint="eastAsia" w:ascii="仿宋" w:hAnsi="仿宋" w:eastAsia="仿宋" w:cs="仿宋"/>
          <w:sz w:val="32"/>
          <w:szCs w:val="32"/>
          <w:vertAlign w:val="superscript"/>
        </w:rPr>
        <w:t>2</w:t>
      </w:r>
      <w:r>
        <w:rPr>
          <w:rFonts w:hint="eastAsia" w:ascii="仿宋" w:hAnsi="仿宋" w:eastAsia="仿宋" w:cs="仿宋"/>
          <w:sz w:val="32"/>
          <w:szCs w:val="32"/>
        </w:rPr>
        <w:t>时，应进行专项设计；操作平台应与建筑物进行刚性连接或加设防倾措施，不得与脚手架连接；用脚手架搭设操作平台时，其立杆间距和步距等结构要求应符合国家现行相关脚手架规范的规定；应在立杆下部设置底座或垫板、纵向与横向扫地杆，并应在外立面设置剪刀撑或斜撑；操作平台应从底层第一步水平杆起逐层设置连墙件，且连墙件间隔不应大于4m，并应设置水平剪刀撑。</w:t>
      </w:r>
    </w:p>
    <w:p w14:paraId="0F3D2F6E">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7.悬挑式操作平台</w:t>
      </w:r>
      <w:bookmarkStart w:id="6" w:name="OLE_LINK2"/>
      <w:r>
        <w:rPr>
          <w:rFonts w:hint="eastAsia" w:ascii="仿宋" w:hAnsi="仿宋" w:eastAsia="仿宋" w:cs="仿宋"/>
          <w:sz w:val="32"/>
          <w:szCs w:val="32"/>
        </w:rPr>
        <w:t>（物料钢平台）</w:t>
      </w:r>
      <w:bookmarkEnd w:id="6"/>
      <w:r>
        <w:rPr>
          <w:rFonts w:hint="eastAsia" w:ascii="仿宋" w:hAnsi="仿宋" w:eastAsia="仿宋" w:cs="仿宋"/>
          <w:sz w:val="32"/>
          <w:szCs w:val="32"/>
        </w:rPr>
        <w:t>必须编制专项施工方案，并通过开工安全生产条件审查后方可安装，安装验收合格并悬挂验收牌后方可投入使用。安装和吊运悬挑式操作平台（物料钢平台）时，应使用起重吊环；与建筑物连接固定时，应使用承载吊环。钢丝绳应采用专用卡环连接，绳卡数量应与钢丝绳直径相匹配，且不得少于4个。平台在吊运和安装过程中严禁上人。钢平台的下部支撑系统或上部拉结点应设置于建筑结构上；斜拉杆或钢丝绳应在平台两侧各设前后两道，并符合规范要求。钢平台两侧应设置固定的防护栏杆，并在明显位置悬挂荷载限定标牌。钢平台台面（不得采用竹串片脚手板）及平台与建筑结构间的铺板应严密、牢固。</w:t>
      </w:r>
    </w:p>
    <w:p w14:paraId="39514DAD">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8.脚手架工程应按相关规定编制施工方案，应经验收合格签字后使用。作业层脚手架脚手板、安全网铺设应符合要求。脚手架外侧应采用密目式安全网全封闭，作业层与建筑物的空隙大于15cm时应做到全封闭，防止人员和物料坠落。脚手架每搭设完6m—8m高度后，应经验收合格签字后作业，作业人员上下应使用专用通道，不得攀爬架体。</w:t>
      </w:r>
    </w:p>
    <w:p w14:paraId="7F1DC0F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9.施工外用电梯、物料提升机等各类垂直运输设备应编制安装拆卸施工方案，与建筑物间设置的通道平台两侧应设置防护栏杆、挡脚板并用密目式安全立网或工具式栏板封闭。接料平台口应设置高度应不低于1.8m的楼层防护门，应设置防外开装置。电梯轿厢内乘人、载物时，严禁超载，载荷应均匀分布，防止偏重。</w:t>
      </w:r>
    </w:p>
    <w:p w14:paraId="33807269">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10.电梯井口应按要求设置不低于1.5m的安全防护门，井道内应每隔2层且不大于10m加设一道安全平网，电梯井内的施工层上部应设置隔离防护设施。</w:t>
      </w:r>
    </w:p>
    <w:p w14:paraId="61B20647">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11.附着式升降脚手架、吊篮和其他工具式脚手架工程应按相关规定编制施工方案，应按相关规范要求设置防坠落、防倾覆等措施，应履行验收程序后使用。附着式脚手架升降作业时，下方必须设置警戒区，严禁人员进入；每次升降完成后必须验收合格方可投入使用。吊篮内作业人员不得超过 2 人，必须全程系挂安全带，安全带应挂设在独立的安全生命绳上，严禁挂设在吊篮本体上；严禁吊篮超载、斜拉斜吊，严禁在吊篮内搭设梯子、垫高作业。</w:t>
      </w:r>
    </w:p>
    <w:p w14:paraId="05A7AD5C">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12.厂房、钢网架施工应编制安全防护专项方案，并按实际要求布设安全绳及平网等安全防护设施。平网的选材与规格必须符合GB 5725的相关要求，严禁使用破损、老化、霉变或不合格的安全网。作业人员应正确佩戴和使用劳动保护用品，安全带应采用“五点式”，并严格执行高挂低用的规定。</w:t>
      </w:r>
    </w:p>
    <w:p w14:paraId="0CB2548D">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三、常见问题</w:t>
      </w:r>
    </w:p>
    <w:p w14:paraId="30626C8E">
      <w:pPr>
        <w:spacing w:line="560" w:lineRule="exact"/>
        <w:ind w:firstLine="643" w:firstLineChars="200"/>
        <w:rPr>
          <w:rFonts w:hint="eastAsia" w:ascii="仿宋" w:hAnsi="仿宋" w:eastAsia="仿宋" w:cs="仿宋"/>
          <w:bCs/>
          <w:sz w:val="32"/>
          <w:szCs w:val="32"/>
        </w:rPr>
      </w:pPr>
      <w:r>
        <w:rPr>
          <w:rFonts w:hint="eastAsia" w:ascii="仿宋" w:hAnsi="仿宋" w:eastAsia="仿宋" w:cs="仿宋"/>
          <w:b/>
          <w:bCs/>
          <w:sz w:val="32"/>
          <w:szCs w:val="32"/>
        </w:rPr>
        <w:t>（一）管理类常见问题</w:t>
      </w:r>
    </w:p>
    <w:p w14:paraId="4AEB5A6D">
      <w:pPr>
        <w:spacing w:line="560" w:lineRule="exact"/>
        <w:ind w:firstLine="640" w:firstLineChars="200"/>
        <w:rPr>
          <w:rFonts w:hint="eastAsia" w:ascii="仿宋" w:hAnsi="仿宋" w:eastAsia="仿宋" w:cs="仿宋"/>
          <w:sz w:val="32"/>
          <w:szCs w:val="32"/>
        </w:rPr>
      </w:pPr>
      <w:r>
        <w:rPr>
          <w:rFonts w:hint="eastAsia" w:ascii="仿宋" w:hAnsi="仿宋" w:eastAsia="仿宋" w:cs="仿宋"/>
          <w:bCs/>
          <w:sz w:val="32"/>
          <w:szCs w:val="32"/>
        </w:rPr>
        <w:t>1.高处作业人员未经安全教育及交底，安全技术内容针对性不强，未覆盖全体高处作业人员；安全教育及交底记录存在漏签、代签等弄虚作假现象。</w:t>
      </w:r>
    </w:p>
    <w:p w14:paraId="41F8F571">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2.未按规定开展高处作业人员体检，或体检周期超期，安排超龄或其他禁忌症人员从事高处作业、恶劣天气强令冒险作业。</w:t>
      </w:r>
    </w:p>
    <w:p w14:paraId="06ECD4D5">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3.配备的安全帽、安全带不符合国家强制标准，未定期检查或更换破损、失效的防护用品。</w:t>
      </w:r>
    </w:p>
    <w:p w14:paraId="46ADAE9E">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4.安全防护设施未经验收投入使用，验收无记录、代签漏签，验收内容不符合规范要求。</w:t>
      </w:r>
    </w:p>
    <w:p w14:paraId="1010C8EE">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5.擅自拆除、挪动安全防护设施，临时拆除后未采取临时防护措施，作业完成后未及时恢复。</w:t>
      </w:r>
    </w:p>
    <w:p w14:paraId="6EF90AA8">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6.</w:t>
      </w:r>
      <w:r>
        <w:rPr>
          <w:rFonts w:hint="eastAsia" w:ascii="仿宋" w:hAnsi="仿宋" w:eastAsia="仿宋" w:cs="仿宋"/>
          <w:sz w:val="32"/>
          <w:szCs w:val="32"/>
        </w:rPr>
        <w:t xml:space="preserve"> </w:t>
      </w:r>
      <w:r>
        <w:rPr>
          <w:rFonts w:hint="eastAsia" w:ascii="仿宋" w:hAnsi="仿宋" w:eastAsia="仿宋" w:cs="仿宋"/>
          <w:bCs/>
          <w:sz w:val="32"/>
          <w:szCs w:val="32"/>
        </w:rPr>
        <w:t>安全防护设施随分部分项工程进行移交的，未办理安全防护设施移交手续。</w:t>
      </w:r>
    </w:p>
    <w:p w14:paraId="631AB1B6">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（二）现场实体类常见问题</w:t>
      </w:r>
    </w:p>
    <w:p w14:paraId="12207580">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1.作业人员未正确佩戴使用“五点式”安全带，脚手架搭设、窗户玻璃安装等临空作业过程无可靠立足点，未提供安全挂点或生命线。</w:t>
      </w:r>
    </w:p>
    <w:p w14:paraId="024875F0">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2.临边、洞口防护设施缺失或稳定性不足，例如装饰装修施工过程中临边洞口、楼梯临边防护拆除后，正式的防护栏杆不能及时进行安装，在永临转化的过程中防护缺失。</w:t>
      </w:r>
    </w:p>
    <w:p w14:paraId="30E121C6">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3. 悬挑式及移动式操作平台、人字梯、马凳等登高设施未经检查、验收合格即投入使用，堆载超过允许荷载范围。</w:t>
      </w:r>
    </w:p>
    <w:p w14:paraId="47D97B81">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4.建筑物主要出入口处、施工升降机出入口未设置双层安全防护棚或设置不符合规范要求。</w:t>
      </w:r>
    </w:p>
    <w:p w14:paraId="7D63D4C8">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5.安全平网搭设未绑扎牢固、网间不严密。</w:t>
      </w:r>
    </w:p>
    <w:p w14:paraId="79E70373">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6.涉及立体交叉施工作业的多层建筑四周未设置安全防护措施和隔离措施。</w:t>
      </w:r>
    </w:p>
    <w:p w14:paraId="2E7C4A4A">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7.施工升降机、物料提升机楼层防护门缺失或未保持常闭。</w:t>
      </w:r>
    </w:p>
    <w:p w14:paraId="713AC7EE">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8.同一吊篮超过2人共同作业，吊篮用于违规载物或吊装。</w:t>
      </w:r>
    </w:p>
    <w:p w14:paraId="7714E780">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9.脚手架作业层脚手板未满铺、存在探头板，挡脚板设置缺失；附着式脚手架及吊篮等工具式脚手架走道板、底板及上下通道固定不牢靠、变形或锈蚀。</w:t>
      </w:r>
    </w:p>
    <w:p w14:paraId="78020505">
      <w:pPr>
        <w:spacing w:line="560" w:lineRule="exact"/>
        <w:ind w:firstLine="640" w:firstLineChars="200"/>
        <w:rPr>
          <w:rFonts w:hint="eastAsia" w:ascii="仿宋_GB2312" w:hAnsi="sans-serif" w:eastAsia="仿宋_GB2312" w:cs="sans-serif"/>
          <w:sz w:val="32"/>
          <w:szCs w:val="32"/>
          <w:shd w:val="clear" w:color="auto" w:fill="FFFFFF"/>
        </w:rPr>
      </w:pPr>
      <w:r>
        <w:rPr>
          <w:rFonts w:hint="eastAsia" w:ascii="仿宋" w:hAnsi="仿宋" w:eastAsia="仿宋" w:cs="仿宋"/>
          <w:bCs/>
          <w:sz w:val="32"/>
          <w:szCs w:val="32"/>
        </w:rPr>
        <w:t>10.钢结构施工未设置登高挂梯。</w:t>
      </w:r>
    </w:p>
    <w:p w14:paraId="008783D6">
      <w:pPr>
        <w:jc w:val="left"/>
        <w:rPr>
          <w:rFonts w:hint="eastAsia" w:ascii="仿宋_GB2312" w:hAnsi="仿宋" w:eastAsia="仿宋_GB2312" w:cs="仿宋"/>
          <w:b/>
          <w:sz w:val="32"/>
          <w:szCs w:val="32"/>
        </w:rPr>
      </w:pPr>
      <w:r>
        <w:rPr>
          <w:rFonts w:hint="eastAsia" w:ascii="仿宋_GB2312" w:hAnsi="仿宋" w:eastAsia="仿宋_GB2312" w:cs="仿宋"/>
          <w:b/>
          <w:sz w:val="32"/>
          <w:szCs w:val="32"/>
        </w:rPr>
        <w:br w:type="page"/>
      </w:r>
    </w:p>
    <w:p w14:paraId="69D95553">
      <w:pPr>
        <w:spacing w:line="560" w:lineRule="exact"/>
        <w:jc w:val="center"/>
        <w:rPr>
          <w:rFonts w:hint="eastAsia" w:ascii="仿宋" w:hAnsi="仿宋" w:eastAsia="仿宋"/>
          <w:b/>
          <w:bCs/>
          <w:sz w:val="44"/>
          <w:szCs w:val="44"/>
        </w:rPr>
      </w:pPr>
      <w:r>
        <w:rPr>
          <w:rFonts w:hint="eastAsia" w:ascii="仿宋" w:hAnsi="仿宋" w:eastAsia="仿宋"/>
          <w:b/>
          <w:bCs/>
          <w:sz w:val="44"/>
          <w:szCs w:val="44"/>
        </w:rPr>
        <w:t>模板工程安全监督交底（汤武）</w:t>
      </w:r>
    </w:p>
    <w:p w14:paraId="51AB2DEA">
      <w:pPr>
        <w:spacing w:line="560" w:lineRule="exact"/>
        <w:ind w:firstLine="643" w:firstLineChars="200"/>
        <w:rPr>
          <w:rFonts w:hint="eastAsia" w:ascii="黑体" w:hAnsi="黑体" w:eastAsia="黑体" w:cs="仿宋"/>
          <w:b/>
          <w:sz w:val="32"/>
          <w:szCs w:val="32"/>
        </w:rPr>
      </w:pPr>
      <w:r>
        <w:rPr>
          <w:rFonts w:hint="eastAsia" w:ascii="黑体" w:hAnsi="黑体" w:eastAsia="黑体" w:cs="仿宋"/>
          <w:b/>
          <w:sz w:val="32"/>
          <w:szCs w:val="32"/>
        </w:rPr>
        <w:t>一、主要依据</w:t>
      </w:r>
    </w:p>
    <w:p w14:paraId="2F0D4A5E">
      <w:pPr>
        <w:spacing w:line="560" w:lineRule="exact"/>
        <w:ind w:firstLine="640" w:firstLineChars="200"/>
        <w:rPr>
          <w:rFonts w:ascii="仿宋_GB2312" w:eastAsia="仿宋_GB2312"/>
          <w:sz w:val="32"/>
          <w:szCs w:val="32"/>
        </w:rPr>
      </w:pPr>
      <w:r>
        <w:rPr>
          <w:rFonts w:hint="eastAsia" w:ascii="仿宋_GB2312" w:eastAsia="仿宋_GB2312"/>
          <w:sz w:val="32"/>
          <w:szCs w:val="32"/>
        </w:rPr>
        <w:t>《施工脚手架通用规范》（GB55023-2022）《建筑施工脚手架安全技术统一标准》（GB51210-2016）《建筑施工扣件式钢管脚手架安全技术规范》（JGJ130-2011）《建筑施工承插型盘扣式钢管脚手架安全技术标准》（JGJ/T231-2021）《建筑施工安全检查标准》（JGJ59-2011）《组合铝合金模板工程技术规程》（JGJ/T386-2016）《市政工程施工安全检查标准》（CJJ/T275-2018）《建筑施工模板安全技术规范》（JGJ162-2008）《建筑施工承插型轮扣式钢管支架安全技术规程》（DBJ43/323-2017）《建筑施工铝合金模板技术规程》（DBJ322-2017）《房屋市政工程生产安全重大事故隐患判定标准》（2024版）《房屋建筑和市政基础设施工程危及生产安全施工工艺、设备和材料淘汰目录（第一批）》（住建部公告2021年第214号）《房屋建筑和市政基础设施工程禁止和限制使用技术目录（第二批）》（住建部公告2024年第186号）《危险性较大的分部分项工程安全管理规定》（住房城乡建设部令第37号）《住房城乡建设部办公厅关于实施〈危险性较大的分部分项工程安全管理规定〉有关问题的通知》（建办质〔2018〕31号）《危大工程专项施工方案编制指南》（建办质〔2021〕48号《危险性较大的分部分项工程专项施工方案严重缺陷清单（试行）》（建办质〔2024〕63号）等相关规定。</w:t>
      </w:r>
    </w:p>
    <w:p w14:paraId="2BEAC241">
      <w:pPr>
        <w:spacing w:line="560" w:lineRule="exact"/>
        <w:ind w:firstLine="640" w:firstLineChars="200"/>
        <w:rPr>
          <w:rFonts w:hint="eastAsia" w:ascii="黑体" w:hAnsi="黑体" w:eastAsia="黑体" w:cs="仿宋"/>
          <w:sz w:val="32"/>
          <w:szCs w:val="32"/>
        </w:rPr>
      </w:pPr>
      <w:r>
        <w:rPr>
          <w:rFonts w:hint="eastAsia" w:ascii="黑体" w:hAnsi="黑体" w:eastAsia="黑体" w:cs="仿宋"/>
          <w:sz w:val="32"/>
          <w:szCs w:val="32"/>
        </w:rPr>
        <w:t>二、管控重点</w:t>
      </w:r>
    </w:p>
    <w:p w14:paraId="682B03BD">
      <w:pPr>
        <w:spacing w:line="560" w:lineRule="exact"/>
        <w:ind w:firstLine="640" w:firstLineChars="200"/>
        <w:rPr>
          <w:rFonts w:hint="eastAsia" w:ascii="楷体_GB2312" w:hAnsi="黑体" w:eastAsia="楷体_GB2312" w:cs="仿宋"/>
          <w:sz w:val="32"/>
          <w:szCs w:val="32"/>
        </w:rPr>
      </w:pPr>
      <w:r>
        <w:rPr>
          <w:rFonts w:hint="eastAsia" w:ascii="楷体_GB2312" w:hAnsi="黑体" w:eastAsia="楷体_GB2312" w:cs="仿宋"/>
          <w:sz w:val="32"/>
          <w:szCs w:val="32"/>
        </w:rPr>
        <w:t>（一）前期管控</w:t>
      </w:r>
    </w:p>
    <w:p w14:paraId="553B587A">
      <w:pPr>
        <w:pStyle w:val="38"/>
        <w:numPr>
          <w:ilvl w:val="0"/>
          <w:numId w:val="4"/>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模板支撑工程（含基础、主体结构、后浇带等模板及支架，以及铝合金模板配套支架）应严格执行《建筑施工模板安全技术规范》（JGJ162-2008）</w:t>
      </w:r>
      <w:r>
        <w:rPr>
          <w:rFonts w:hint="eastAsia" w:ascii="仿宋_GB2312" w:eastAsia="仿宋_GB2312"/>
          <w:sz w:val="32"/>
          <w:szCs w:val="32"/>
        </w:rPr>
        <w:t>《建筑施工脚手架安全技术统一标准》（GB51210-2016）</w:t>
      </w:r>
      <w:r>
        <w:rPr>
          <w:rFonts w:hint="eastAsia" w:ascii="仿宋_GB2312" w:hAnsi="仿宋" w:eastAsia="仿宋_GB2312" w:cs="仿宋"/>
          <w:sz w:val="32"/>
          <w:szCs w:val="32"/>
        </w:rPr>
        <w:t>《施工脚手架通用规范》（GB55023-2022）等现行标准规范。</w:t>
      </w:r>
    </w:p>
    <w:p w14:paraId="60BE32F5">
      <w:pPr>
        <w:pStyle w:val="38"/>
        <w:numPr>
          <w:ilvl w:val="0"/>
          <w:numId w:val="4"/>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根据《房屋建筑和市政基础设施工程禁止和限制使用技术目录（第二批）》，轮扣架已被列入限制使用名录，不得用于危险性较大的分部分项工程的支撑脚手架。</w:t>
      </w:r>
    </w:p>
    <w:p w14:paraId="7BB5DDC2">
      <w:pPr>
        <w:pStyle w:val="38"/>
        <w:numPr>
          <w:ilvl w:val="0"/>
          <w:numId w:val="4"/>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模板支撑工程开工前，须编制具有针对性、指导性的专项施工方案，内容应包含施工平面及立面布置图，并明确支架类型、搭设参数、计算书及应急措施。采用铝合金模板支架的，应单独明确架体匹配参数、受力验算、与铝模连接方式等内容，并对楼梯处、梁底、边梁等不同区域提出具体支撑体系要求。</w:t>
      </w:r>
    </w:p>
    <w:p w14:paraId="0B0945E1">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专项施工方案须经施工单位技术负责人审核、总监理工程师审批。对属于超过一定规模的危险性较大的分部分项工程范围的模板工程（即搭设高度≥8m，铝合金模板支架＞3.3m；或跨度≥18m；或施工总荷载设计值≥15kN/m²；或集中线荷载设计值≥20kN/m），必须组织专家论证。。</w:t>
      </w:r>
    </w:p>
    <w:p w14:paraId="7DCA7983">
      <w:pPr>
        <w:pStyle w:val="38"/>
        <w:numPr>
          <w:ilvl w:val="0"/>
          <w:numId w:val="4"/>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架体材料（钢管、扣件、轮扣节点、盘扣配件、铝合金模板支架配套连接件等）必须有合格证明文件，进场后须经施工、监理单位联合验收合格，钢管壁厚、扣件抗滑承载力、轮扣插销强度、盘扣节点刚度、铝合金支架型材壁厚及连接螺栓强度等需符合规范，不合格材料严禁使用。</w:t>
      </w:r>
    </w:p>
    <w:p w14:paraId="5BA4A04F">
      <w:pPr>
        <w:spacing w:line="560" w:lineRule="exact"/>
        <w:ind w:firstLine="640" w:firstLineChars="200"/>
        <w:rPr>
          <w:rFonts w:hint="eastAsia" w:ascii="楷体_GB2312" w:hAnsi="黑体" w:eastAsia="楷体_GB2312" w:cs="仿宋"/>
          <w:sz w:val="32"/>
          <w:szCs w:val="32"/>
        </w:rPr>
      </w:pPr>
      <w:r>
        <w:rPr>
          <w:rFonts w:hint="eastAsia" w:ascii="楷体_GB2312" w:hAnsi="黑体" w:eastAsia="楷体_GB2312" w:cs="仿宋"/>
          <w:sz w:val="32"/>
          <w:szCs w:val="32"/>
        </w:rPr>
        <w:t>（二）搭设</w:t>
      </w:r>
    </w:p>
    <w:p w14:paraId="55A6CB24">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1.基础要求</w:t>
      </w:r>
    </w:p>
    <w:p w14:paraId="7ACC191D">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模板支架基础必须平整、夯实、硬化处理，设置排水设施防止积水；立杆底部应铺设垫板（木垫板厚度≥50mm，宽度≥200mm，长度≥2跨</w:t>
      </w:r>
      <w:r>
        <w:rPr>
          <w:rFonts w:hint="eastAsia" w:ascii="仿宋_GB2312" w:hAnsi="仿宋_GB2312" w:eastAsia="仿宋_GB2312" w:cs="仿宋_GB2312"/>
          <w:sz w:val="32"/>
          <w:szCs w:val="32"/>
        </w:rPr>
        <w:t>）或设置专用底座，严禁立杆直接落在松软土或未硬化地面上。</w:t>
      </w:r>
    </w:p>
    <w:p w14:paraId="02EC631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2.立杆设置</w:t>
      </w:r>
    </w:p>
    <w:p w14:paraId="41A28FC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立杆纵横向间距、水平杆步距需严格按方案执行，同一支架内立杆步距应保持一致。支架立杆基础不在同一高度时,必须将高处的纵向扫地杆向低处延长不少于2跨与立杆固定。靠边坡上方的立杆轴线到边坡的距离不应小于500mm。立杆垂直度偏差应符合规范要求，严禁立杆偏心受力。</w:t>
      </w:r>
    </w:p>
    <w:p w14:paraId="147262AC">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钢管扣件式：立杆规格宜采用φ48.3×3.6mm钢管，对接扣件应交错布置，相邻立杆对接点错开距离≥500mm。</w:t>
      </w:r>
    </w:p>
    <w:p w14:paraId="03400C6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轮扣式：立杆节点间距应符合方案要求，横杆插头插入连接盘的长度不应小于30mm，不得出现松动、脱落，立杆顶端可调托撑伸出长度≤300mm。</w:t>
      </w:r>
    </w:p>
    <w:p w14:paraId="4B28431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盘扣式：立杆盘扣节点间距按方案设定，节点连接必须牢固，立杆顶端可调托撑螺杆伸出长度≤400mm。</w:t>
      </w:r>
    </w:p>
    <w:p w14:paraId="62A3101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铝合金模板：应采用配套可调钢支撑，钢支撑垂直度偏差不大于层高的1/300，且钢支撑的规格、间距应符合设计要求。</w:t>
      </w:r>
    </w:p>
    <w:p w14:paraId="24AC41EE">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3.水平杆设置</w:t>
      </w:r>
    </w:p>
    <w:p w14:paraId="7F6A148F">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模板支架必须设置纵横向扫地杆，扫地杆距地高度应符合规范要求。纵横向水平杆步距按方案执行，每层水平杆必须双向贯通，与立杆可靠连接，确保架体水平刚度。</w:t>
      </w:r>
    </w:p>
    <w:p w14:paraId="23A3AEA2">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4.剪刀撑/斜杆设置</w:t>
      </w:r>
    </w:p>
    <w:p w14:paraId="596F39EB">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当模板支架同时满足下列条件时，可不设置竖向、水平剪刀撑：①搭设高度小于5m，架体高宽比小于1.5；②被支承结构自重面荷载不大于5KN/m</w:t>
      </w:r>
      <w:r>
        <w:rPr>
          <w:rFonts w:hint="eastAsia" w:ascii="仿宋_GB2312" w:hAnsi="仿宋" w:eastAsia="仿宋_GB2312" w:cs="仿宋"/>
          <w:sz w:val="32"/>
          <w:szCs w:val="32"/>
          <w:vertAlign w:val="superscript"/>
        </w:rPr>
        <w:t>2</w:t>
      </w:r>
      <w:r>
        <w:rPr>
          <w:rFonts w:hint="eastAsia" w:ascii="仿宋_GB2312" w:hAnsi="仿宋" w:eastAsia="仿宋_GB2312" w:cs="仿宋"/>
          <w:sz w:val="32"/>
          <w:szCs w:val="32"/>
        </w:rPr>
        <w:t>；线荷载不大于8kN/m；③杆件连接节点的转动刚度符合规范要求；④架体结构与既有建筑结构可靠连接；⑤立杆基础均匀，满足承载力要求。当不满足上述条件的其中任何一项时，必须按要求设置竖向和水平剪刀撑。</w:t>
      </w:r>
    </w:p>
    <w:p w14:paraId="1B0DC7A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钢管扣件式模板支架应在外侧立面、内部纵向和横向每隔6m～9m由底至顶连续设置一道竖向剪刀撑，每道剪刀撑跨越立杆数量为5-7根；在顶层和竖向间隔不大于8m处各设置一道水平剪刀撑。</w:t>
      </w:r>
    </w:p>
    <w:p w14:paraId="7AB074D4">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轮扣式模板支架应在外侧四周</w:t>
      </w:r>
      <w:r>
        <w:rPr>
          <w:rFonts w:hint="eastAsia" w:ascii="Segoe UI Symbol" w:hAnsi="Segoe UI Symbol" w:eastAsia="仿宋_GB2312" w:cs="Segoe UI Symbol"/>
          <w:sz w:val="32"/>
          <w:szCs w:val="32"/>
        </w:rPr>
        <w:t>以及</w:t>
      </w:r>
      <w:r>
        <w:rPr>
          <w:rFonts w:hint="eastAsia" w:ascii="仿宋_GB2312" w:hAnsi="仿宋" w:eastAsia="仿宋_GB2312" w:cs="仿宋"/>
          <w:sz w:val="32"/>
          <w:szCs w:val="32"/>
        </w:rPr>
        <w:t>中间纵向、横向分别连续布置竖向剪刀撑，竖向剪刀撑间隔不应大于6跨,且不大于6m;每个剪刀撑的跨数不应超过6跨,且宽度不大于6m。</w:t>
      </w:r>
    </w:p>
    <w:p w14:paraId="5E7EE73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盘扣式模板支撑架应根据支撑架搭设高度、支撑架型号及立杆轴向力设计值进行竖向斜杆布置，竖向斜杆不应采用钢管扣件，其布置型式选用应符合JGJ/T231的要求。支撑架应沿高度每间隔4-6个标准步距设置水平剪刀撑，构造要求同钢管扣件式。</w:t>
      </w:r>
    </w:p>
    <w:p w14:paraId="45783E82">
      <w:pPr>
        <w:numPr>
          <w:ilvl w:val="0"/>
          <w:numId w:val="4"/>
        </w:num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后浇带</w:t>
      </w:r>
    </w:p>
    <w:p w14:paraId="3102D6CC">
      <w:pPr>
        <w:spacing w:line="560" w:lineRule="exact"/>
        <w:ind w:firstLine="640" w:firstLineChars="200"/>
        <w:rPr>
          <w:rFonts w:hint="eastAsia" w:ascii="仿宋_GB2312" w:hAnsi="仿宋" w:eastAsia="仿宋_GB2312" w:cs="仿宋"/>
          <w:sz w:val="32"/>
          <w:szCs w:val="32"/>
        </w:rPr>
      </w:pPr>
      <w:r>
        <w:rPr>
          <w:rFonts w:ascii="仿宋_GB2312" w:hAnsi="仿宋" w:eastAsia="仿宋_GB2312" w:cs="仿宋"/>
          <w:sz w:val="32"/>
          <w:szCs w:val="32"/>
        </w:rPr>
        <w:t>后浇带处的模板及支架</w:t>
      </w:r>
      <w:r>
        <w:rPr>
          <w:rFonts w:hint="eastAsia" w:ascii="仿宋_GB2312" w:hAnsi="仿宋" w:eastAsia="仿宋_GB2312" w:cs="仿宋"/>
          <w:sz w:val="32"/>
          <w:szCs w:val="32"/>
        </w:rPr>
        <w:t>应</w:t>
      </w:r>
      <w:r>
        <w:rPr>
          <w:rFonts w:ascii="仿宋_GB2312" w:hAnsi="仿宋" w:eastAsia="仿宋_GB2312" w:cs="仿宋"/>
          <w:sz w:val="32"/>
          <w:szCs w:val="32"/>
        </w:rPr>
        <w:t>独立设置</w:t>
      </w:r>
      <w:r>
        <w:rPr>
          <w:rFonts w:hint="eastAsia" w:ascii="仿宋_GB2312" w:hAnsi="仿宋" w:eastAsia="仿宋_GB2312" w:cs="仿宋"/>
          <w:sz w:val="32"/>
          <w:szCs w:val="32"/>
        </w:rPr>
        <w:t>。施工单位在编制模板支撑工程专项施工方案时，应明确后浇带独立支撑体系的搭设范围、构造参数、材料规格及保留时限。后浇带的封闭时间不得少于14天，沉降后浇带应通过监测确定，且应在两侧差异沉降稳定后再封闭后浇带，后浇带的封闭时间尚应经设计确定。</w:t>
      </w:r>
    </w:p>
    <w:p w14:paraId="54F71438">
      <w:pPr>
        <w:spacing w:line="560" w:lineRule="exact"/>
        <w:ind w:firstLine="640" w:firstLineChars="200"/>
        <w:rPr>
          <w:rFonts w:hint="eastAsia" w:ascii="楷体_GB2312" w:hAnsi="黑体" w:eastAsia="楷体_GB2312" w:cs="仿宋"/>
          <w:sz w:val="32"/>
          <w:szCs w:val="32"/>
        </w:rPr>
      </w:pPr>
      <w:r>
        <w:rPr>
          <w:rFonts w:hint="eastAsia" w:ascii="楷体_GB2312" w:hAnsi="黑体" w:eastAsia="楷体_GB2312" w:cs="仿宋"/>
          <w:sz w:val="32"/>
          <w:szCs w:val="32"/>
        </w:rPr>
        <w:t>（三）验收</w:t>
      </w:r>
    </w:p>
    <w:p w14:paraId="25CF867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模板支架搭设前应对基础完成验收；搭设过程中，每搭设2至4步或高度不超过6米时，应进行分阶段验收；模板支架整体搭设完成后、混凝土浇筑前，应实施最终验收。验收记录应量化具体数据，避免使用“合格”“符合要求”等模糊表述，须明确标注实测数值。验收资料应包含以下内容：专项施工方案及审批文件、材料合格证明及进场验收记录、架体搭设技术交底记录、分阶段验收记录表等。</w:t>
      </w:r>
    </w:p>
    <w:p w14:paraId="2565EF60">
      <w:pPr>
        <w:spacing w:line="560" w:lineRule="exact"/>
        <w:ind w:firstLine="640" w:firstLineChars="200"/>
        <w:rPr>
          <w:rFonts w:hint="eastAsia" w:ascii="楷体_GB2312" w:hAnsi="黑体" w:eastAsia="楷体_GB2312" w:cs="仿宋"/>
          <w:sz w:val="32"/>
          <w:szCs w:val="32"/>
        </w:rPr>
      </w:pPr>
      <w:r>
        <w:rPr>
          <w:rFonts w:hint="eastAsia" w:ascii="楷体_GB2312" w:hAnsi="黑体" w:eastAsia="楷体_GB2312" w:cs="仿宋"/>
          <w:sz w:val="32"/>
          <w:szCs w:val="32"/>
        </w:rPr>
        <w:t>（四）拆除</w:t>
      </w:r>
    </w:p>
    <w:p w14:paraId="529D0A8B">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根据《混凝土结构工程施工规范》GB 50666-2011第4.5.2条的规定，底模及支架应在混凝土强度达到设计要求后方可拆除；当设计无具体要求时，同条件养护的混凝土立方体试件抗压强度应符合规范要求：对于板类构件，跨度不大于2m时应达到设计混凝土强度等级值的50%以上，跨度大于2m且不大于8m时应达到75%以上，跨度大于8m时应达到100%；对于梁、拱、壳类构件，跨度不大于8m时应达到75%以上，跨度大于8m时应达到100%；对于悬臂结构，则必须达到设计混凝土强度等级值的100%方可拆除底模及支架。</w:t>
      </w:r>
    </w:p>
    <w:p w14:paraId="6DAA5A1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拆除顺序遵循“自上而下、先搭后拆、后搭先拆”原则，严禁上下同时拆除、分段交叉拆除，严禁抛掷构配件，构配件需逐层传递至地面分类堆放。</w:t>
      </w:r>
    </w:p>
    <w:p w14:paraId="3B4E741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后浇带模板及支架必须待后浇带混凝土浇筑完成且强度达到设计要求后，方可拆除，严禁提前拆除后二次搭设。</w:t>
      </w:r>
    </w:p>
    <w:p w14:paraId="4BC8E42F">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拆除前需清理架体上杂物、移除障碍物，设置警戒区域，派专人监护，禁止无关人员进入；遇六级及以上大风、大雨等恶劣天气，立即停止拆除作业。</w:t>
      </w:r>
    </w:p>
    <w:p w14:paraId="74E6B7A3">
      <w:pPr>
        <w:spacing w:line="560" w:lineRule="exact"/>
        <w:ind w:firstLine="640" w:firstLineChars="200"/>
        <w:rPr>
          <w:rFonts w:hint="eastAsia" w:ascii="黑体" w:hAnsi="黑体" w:eastAsia="黑体" w:cs="仿宋"/>
          <w:sz w:val="32"/>
          <w:szCs w:val="32"/>
        </w:rPr>
      </w:pPr>
      <w:r>
        <w:rPr>
          <w:rFonts w:hint="eastAsia" w:ascii="黑体" w:hAnsi="黑体" w:eastAsia="黑体" w:cs="仿宋"/>
          <w:sz w:val="32"/>
          <w:szCs w:val="32"/>
        </w:rPr>
        <w:t>三、常见问题</w:t>
      </w:r>
    </w:p>
    <w:p w14:paraId="521FDCE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专项施工方案编制流于形式，与现场实际施工情况不符，未结合现场作业面尺寸、荷载分布等实际情况进行针对性编制，方案中的立杆间距、步距设置超规范要求。模板支架计算书存在严重缺陷，未按现场实际使用的钢管壁厚、材料强度、扣件承载力等参数进行核算等。</w:t>
      </w:r>
    </w:p>
    <w:p w14:paraId="2B697689">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架体所用构配件质量不符合规范要求，存在严重质量缺陷：钢管实际壁厚不足3mm，存在锈蚀、凹陷、裂纹等损伤；扣件质量不达标，存在滑丝、断裂、变形等问题，扣件抗滑承载力、拧紧力矩不满足要求；轮扣式、盘扣式支架节点破损，连接盘变形、开裂等。</w:t>
      </w:r>
    </w:p>
    <w:p w14:paraId="07F53499">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3.立杆基础未按方案要求进行硬化处理，未按要求设置垫板、垫板尺寸不足，或未设置在立杆底部中心位置；部分立杆底部悬空，未与垫板有效接触等。</w:t>
      </w:r>
    </w:p>
    <w:p w14:paraId="64EF885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架体搭设不规范，未按规范要求在架体外侧连续设置竖向剪刀撑，剪刀撑开设角度不符合45°-60°的要求；轮扣、盘扣或扣件式钢管相互混用；未按要求设置水平剪刀撑或水平剪刀撑的间距超过8m；水平杆未按步距纵横向通长设置，存在断杆、漏设现象；可调托撑上的主楞梁未居中设置，其间隙每边超过2mm；立杆自由端过长（钢管扣件&gt;500mm,其余架体&gt;650mm）,且螺杆伸出长度超过300mm（盘扣架&gt;400mm）；架体高宽比过大，未按要求采取卸荷、增大架体下部尺寸等加强措施；架体未按要求进行抱柱连接，无法利用主体结构抵消水平荷载，降低架体整体性和稳定性。楼梯斜板支撑采用斜立杆，未设置纵横向水平杆；立杆支承地面存在高低台阶，水平杆连接不足或不规范。</w:t>
      </w:r>
    </w:p>
    <w:p w14:paraId="544EDC6E">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后浇带区域模板支架设置不规范，未设置独立的支撑体系，与主体结构模板支架共用；部分后浇带支架提前拆除，且拆除后未及时恢复独立支撑，后浇带混凝土未达到设计强度，无法承受上部荷载，易引发后浇带区域楼板坍塌、变形等隐患。</w:t>
      </w:r>
    </w:p>
    <w:p w14:paraId="706B4BD6">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模板支架未按规定程序进行验收，验收记录与现场不符，参加验收人员不符合规定，验收内容未量化，未设置验收标志牌。；混凝土浇筑完成后，在混凝土未达到设计拆除强度的情况下擅自拆除模板支架；拆除作业未制定专项拆除方案，作业过程中无专人监护，作业人员违规操作，构配件随意抛掷；拆除区域未按要求设置警戒区域和警示标志，无关人员随意进入作业区域等。</w:t>
      </w:r>
    </w:p>
    <w:p w14:paraId="5F4955D0">
      <w:pPr>
        <w:spacing w:line="56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7.轮扣式支架横杆插头插入连接盘的长度不足30mm，节点连接松动、易脱落，无法有效传递水平力和竖向力；架体顶部未按要求设置封顶杆，易发生局部失稳；违规采用顶托当底座使用，顶托受力不合理，导致立杆受力不均；钢管扣件式、轮扣式架体立杆接头未按要求错开设置。</w:t>
      </w:r>
    </w:p>
    <w:p w14:paraId="69E7ED76">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8.未留置同条件拆模试块。</w:t>
      </w:r>
    </w:p>
    <w:p w14:paraId="1B6DFD2F">
      <w:pPr>
        <w:widowControl/>
        <w:jc w:val="left"/>
        <w:rPr>
          <w:rFonts w:hint="eastAsia" w:ascii="仿宋_GB2312" w:hAnsi="仿宋" w:eastAsia="仿宋_GB2312" w:cs="仿宋"/>
          <w:sz w:val="32"/>
          <w:szCs w:val="32"/>
        </w:rPr>
      </w:pPr>
      <w:r>
        <w:rPr>
          <w:rFonts w:hint="eastAsia" w:ascii="仿宋_GB2312" w:hAnsi="仿宋" w:eastAsia="仿宋_GB2312" w:cs="仿宋"/>
          <w:sz w:val="32"/>
          <w:szCs w:val="32"/>
        </w:rPr>
        <w:br w:type="page"/>
      </w:r>
    </w:p>
    <w:p w14:paraId="6596A7C6">
      <w:pPr>
        <w:spacing w:line="560" w:lineRule="exact"/>
        <w:jc w:val="center"/>
        <w:rPr>
          <w:rFonts w:hint="eastAsia" w:ascii="黑体" w:hAnsi="黑体" w:eastAsia="黑体" w:cs="黑体"/>
          <w:sz w:val="32"/>
          <w:szCs w:val="32"/>
        </w:rPr>
      </w:pPr>
      <w:r>
        <w:rPr>
          <w:rFonts w:hint="eastAsia" w:ascii="仿宋" w:hAnsi="仿宋" w:eastAsia="仿宋"/>
          <w:b/>
          <w:sz w:val="32"/>
          <w:szCs w:val="32"/>
        </w:rPr>
        <w:t>脚手架安全监督交底（汤武）</w:t>
      </w:r>
    </w:p>
    <w:p w14:paraId="5FAF3D81">
      <w:pPr>
        <w:spacing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一、主要依据</w:t>
      </w:r>
    </w:p>
    <w:p w14:paraId="60D77140">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施工脚手架通用规范》（GB55023-2022）《建筑施工脚手架安全技术统一标准》（GB51210-2016）《建筑施工扣件式钢管脚手架安全技术规范》（JGJ130-2011）《建筑施工承插型盘扣式钢管脚手架安全技术标准》（JGJ/T231-2021）《建筑施工碗扣式钢管脚手架安全技术规范》（JGJ166-2016）《建筑施工门式钢管脚手架安全技术规范》(JGJ/T128-2019）《建筑施工安全检查标准》（JGJ59-2011）《市政工程施工安全检查标准》（CJJ/T275-2018）《建筑施工承插型轮扣式钢管支架安全技术规程》（DBJ43/323-2017）《房屋市政工程生产安全重大事故隐患判定标准》（2024版）</w:t>
      </w:r>
      <w:r>
        <w:rPr>
          <w:rFonts w:hint="eastAsia" w:ascii="仿宋" w:hAnsi="仿宋" w:eastAsia="仿宋"/>
          <w:sz w:val="32"/>
          <w:szCs w:val="32"/>
        </w:rPr>
        <w:t>《</w:t>
      </w:r>
      <w:bookmarkStart w:id="7" w:name="OLE_LINK4"/>
      <w:r>
        <w:rPr>
          <w:rFonts w:hint="eastAsia" w:ascii="仿宋" w:hAnsi="仿宋" w:eastAsia="仿宋"/>
          <w:sz w:val="32"/>
          <w:szCs w:val="32"/>
        </w:rPr>
        <w:t>危险性较大的分部分项工程安全管理规定》（住房城乡建设部令第37号）《住房城乡建设部办公厅关于实施〈危险性较大的分部分项工程安全管理规定〉有关问题的通知》（建办质〔2018〕31号）《危大工程专项施工方案编制指南》（建办质〔2021〕48号《房屋建筑和市政基础设施工程危及生产安全施工工艺、设备和材料淘汰目录（第一批）》（住建部公告2021年第214号）《房屋建筑和市政基础设施工程禁止和限制使用技术目录（第二批）》（住建部公告2024年第186号）《危险性较大的分部分项工程专项施工方案严重缺陷清单（试行）》（建办质〔2024〕63号）等相关规定。</w:t>
      </w:r>
    </w:p>
    <w:bookmarkEnd w:id="7"/>
    <w:p w14:paraId="442099F6">
      <w:pPr>
        <w:spacing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二、管控重点</w:t>
      </w:r>
    </w:p>
    <w:p w14:paraId="31BF59EB">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（一）前期管控</w:t>
      </w:r>
    </w:p>
    <w:p w14:paraId="14E96743">
      <w:pPr>
        <w:pStyle w:val="38"/>
        <w:numPr>
          <w:ilvl w:val="0"/>
          <w:numId w:val="5"/>
        </w:numPr>
        <w:spacing w:line="560" w:lineRule="exact"/>
        <w:ind w:firstLine="640"/>
        <w:rPr>
          <w:rFonts w:hint="eastAsia" w:ascii="仿宋" w:hAnsi="仿宋" w:eastAsia="仿宋"/>
          <w:sz w:val="32"/>
          <w:szCs w:val="32"/>
        </w:rPr>
      </w:pPr>
      <w:r>
        <w:rPr>
          <w:rFonts w:hint="eastAsia" w:ascii="仿宋" w:hAnsi="仿宋" w:eastAsia="仿宋"/>
          <w:sz w:val="32"/>
          <w:szCs w:val="32"/>
        </w:rPr>
        <w:t>根据《施工脚手架通用规范》（GB 55023-2022）第2.0.3条的规定，脚手架搭设和拆除作业以前，应根据工程特点编制脚手架专项施工方案，明确脚手架类型、搭设参数、连墙件布置、安全防护措施、计算书及应急预案等，并应经审批后实施。</w:t>
      </w:r>
    </w:p>
    <w:p w14:paraId="592B357A">
      <w:pPr>
        <w:pStyle w:val="38"/>
        <w:numPr>
          <w:ilvl w:val="0"/>
          <w:numId w:val="5"/>
        </w:numPr>
        <w:spacing w:line="560" w:lineRule="exact"/>
        <w:ind w:firstLine="640"/>
        <w:rPr>
          <w:rFonts w:hint="eastAsia" w:ascii="仿宋" w:hAnsi="仿宋" w:eastAsia="仿宋"/>
          <w:sz w:val="32"/>
          <w:szCs w:val="32"/>
        </w:rPr>
      </w:pPr>
      <w:r>
        <w:rPr>
          <w:rFonts w:hint="eastAsia" w:ascii="仿宋" w:hAnsi="仿宋" w:eastAsia="仿宋"/>
          <w:sz w:val="32"/>
          <w:szCs w:val="32"/>
        </w:rPr>
        <w:t>根据《房屋建筑和市政基础设施工程禁止和限制使用技术目录（第二批）》，轮扣架被列为限制使用名录，不得用于单排作业脚手架和搭设高度大于 15m 双排作业脚手架；不得用于搭设高度大于8m 的满堂作业脚手架。</w:t>
      </w:r>
    </w:p>
    <w:p w14:paraId="69AF75BD">
      <w:pPr>
        <w:pStyle w:val="38"/>
        <w:numPr>
          <w:ilvl w:val="0"/>
          <w:numId w:val="5"/>
        </w:numPr>
        <w:spacing w:line="560" w:lineRule="exact"/>
        <w:ind w:firstLine="640"/>
        <w:rPr>
          <w:rFonts w:hint="eastAsia" w:ascii="仿宋" w:hAnsi="仿宋" w:eastAsia="仿宋"/>
          <w:sz w:val="32"/>
          <w:szCs w:val="32"/>
        </w:rPr>
      </w:pPr>
      <w:r>
        <w:rPr>
          <w:rFonts w:hint="eastAsia" w:ascii="仿宋" w:hAnsi="仿宋" w:eastAsia="仿宋"/>
          <w:sz w:val="32"/>
          <w:szCs w:val="32"/>
        </w:rPr>
        <w:t>超过一定规模的脚手架工程（搭设高度≥50m的落地式钢管脚手架、悬挑高度≥20m的悬挑式脚手架），必须组织专家论证，论证合格后按程序审批实施。</w:t>
      </w:r>
    </w:p>
    <w:p w14:paraId="0B44CD7F">
      <w:pPr>
        <w:pStyle w:val="38"/>
        <w:numPr>
          <w:ilvl w:val="0"/>
          <w:numId w:val="5"/>
        </w:numPr>
        <w:spacing w:line="560" w:lineRule="exact"/>
        <w:ind w:firstLine="640"/>
        <w:rPr>
          <w:rFonts w:hint="eastAsia" w:ascii="仿宋" w:hAnsi="仿宋" w:eastAsia="仿宋"/>
          <w:sz w:val="32"/>
          <w:szCs w:val="32"/>
        </w:rPr>
      </w:pPr>
      <w:r>
        <w:rPr>
          <w:rFonts w:hint="eastAsia" w:ascii="仿宋" w:hAnsi="仿宋" w:eastAsia="仿宋"/>
          <w:sz w:val="32"/>
          <w:szCs w:val="32"/>
        </w:rPr>
        <w:t>搭设、拆除作业人员必须为考核合格的专业架子工，持有效特种作业操作证上岗，作业前需接受针对性安全技术交底并履行签字手续，作业时必须佩戴安全帽、系安全带、穿防滑鞋。</w:t>
      </w:r>
    </w:p>
    <w:p w14:paraId="698C41F3">
      <w:pPr>
        <w:pStyle w:val="38"/>
        <w:numPr>
          <w:ilvl w:val="0"/>
          <w:numId w:val="5"/>
        </w:numPr>
        <w:spacing w:line="560" w:lineRule="exact"/>
        <w:ind w:firstLine="640"/>
        <w:rPr>
          <w:rFonts w:hint="eastAsia" w:ascii="仿宋" w:hAnsi="仿宋" w:eastAsia="仿宋"/>
          <w:sz w:val="32"/>
          <w:szCs w:val="32"/>
        </w:rPr>
      </w:pPr>
      <w:r>
        <w:rPr>
          <w:rFonts w:hint="eastAsia" w:ascii="仿宋" w:hAnsi="仿宋" w:eastAsia="仿宋"/>
          <w:sz w:val="32"/>
          <w:szCs w:val="32"/>
        </w:rPr>
        <w:t>架体材料（钢管、扣件、盘扣节点、可调底座、基座、轮扣插销、脚手板、安全网等）必须具备产品合格证、质量检验报告等合格证明文件，进场后经施工、监理联合验收合格。钢管壁厚、扣件抗滑承载力、安全网阻燃性能及网目密度等需符合规范要求，不合格材料严禁使用。</w:t>
      </w:r>
    </w:p>
    <w:p w14:paraId="44CAE5B0">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（二）通用要求</w:t>
      </w:r>
    </w:p>
    <w:p w14:paraId="36DA65AF">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外脚手架的宽度不应小于0.8m，且不宜大于1.2m。作业层高度不应小于1.7m，且不宜大于2m。脚手架的竖向和水平剪刀撑应根据其种类、荷载、结构和构造设置，剪刀撑斜杆应与相邻立杆连接牢固；可采用斜撑杆、交叉拉杆代替剪刀撑。门式钢管脚手架设置的纵向交叉拉杆可替代纵向剪刀撑。</w:t>
      </w:r>
    </w:p>
    <w:p w14:paraId="737BAEC2">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外脚手架的纵向外侧立面上应设置竖向剪刀撑，每道剪刀撑的宽度应为4跨～6跨（6-9m）；剪刀撑斜杆与水平面的倾角应在45°～60°之间；搭设高度在24m以下时，应在架体两端、转角及中间每隔不超过15m各设置一道剪刀撑，并由底至顶连续设置；搭设高度在24m及以上时，应在全外侧立面上由底至顶连续设置。</w:t>
      </w:r>
    </w:p>
    <w:p w14:paraId="6AEC2D8D">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外脚手架应按设计计算和构造要求设置连墙件，连墙件的水平间距不得超过3跨，竖向间距不得超过3步，连墙点之上的架体悬臂高度不应超过2步。在架体的转角处、开口型作业脚手架端部应增设连墙件，连墙件的垂直间距不应大于建筑物层高，且不应大于4.0m。</w:t>
      </w:r>
    </w:p>
    <w:p w14:paraId="019C7BC7">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外脚手架的作业层上应满铺脚手板，并应采取可靠的连接方式与水平杆固定。当作业层边缘与建筑物间隙大于150mm时，应采取防护措施。作业层外侧应设置栏杆和挡脚板。</w:t>
      </w:r>
    </w:p>
    <w:p w14:paraId="6B453704">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在搭设和拆除脚手架作业时，应设置安全警戒线、警戒标志，并应派专人监护，严禁非作业人员入内。</w:t>
      </w:r>
    </w:p>
    <w:p w14:paraId="595C775C">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脚手架应按顺序搭设，一次搭设高度不应超过最上层连墙件两步，剪刀撑、斜撑杆等加固杆件应随架体同步搭设，不得滞后安装；构件组装类脚手架的搭设应自一端向另一端延伸，自下而上按步架设，并应逐层改变搭设方向；每搭设完一步架体后，应按规定校正立杆间距、步距、垂直度及水平杆的水平度。</w:t>
      </w:r>
    </w:p>
    <w:p w14:paraId="4B5BE0CF">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脚手架拆除应从上而下逐层进行，严禁上下同时作业；同层杆件和构配件必须按先外后内的顺序拆除；剪刀撑、斜撑杆等加固杆件必须在拆卸至该杆件所在部位时再拆除；作业脚手架连墙件必须随架体逐层拆除，严禁先将连墙件整层或数层拆除后再拆架体。拆除作业过程中，当架体的自由端高度超过2个步距时，必须采取临时拉结措施。</w:t>
      </w:r>
    </w:p>
    <w:p w14:paraId="1ECC3D9E">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脚手架在搭设过程中和阶段使用前，应进行阶段施工质量检查，确认合格后方可进行下道工序施工或阶段使用，在下列阶段应进行阶段施工质量检查：搭设场地完工后及脚手架搭设前；悬挑脚手架悬挑结构固定后；首层水平杆搭设安装后；落地作业脚手架和悬挑作业脚手架每搭设一个楼层高度，阶段使用前。</w:t>
      </w:r>
    </w:p>
    <w:p w14:paraId="1C6496C4">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（三）落地式脚手架</w:t>
      </w:r>
    </w:p>
    <w:p w14:paraId="59F891CD">
      <w:pPr>
        <w:pStyle w:val="38"/>
        <w:numPr>
          <w:ilvl w:val="0"/>
          <w:numId w:val="7"/>
        </w:numPr>
        <w:spacing w:line="560" w:lineRule="exact"/>
        <w:ind w:firstLine="640"/>
        <w:rPr>
          <w:rFonts w:hint="eastAsia" w:ascii="仿宋" w:hAnsi="仿宋" w:eastAsia="仿宋"/>
          <w:sz w:val="32"/>
          <w:szCs w:val="32"/>
        </w:rPr>
      </w:pPr>
      <w:r>
        <w:rPr>
          <w:rFonts w:hint="eastAsia" w:ascii="仿宋" w:hAnsi="仿宋" w:eastAsia="仿宋"/>
          <w:sz w:val="32"/>
          <w:szCs w:val="32"/>
        </w:rPr>
        <w:t>落地式脚手架基础必须平整、夯实、硬化处理（宜高出自然地坪50mm），设置排水设施防止积水。</w:t>
      </w:r>
    </w:p>
    <w:p w14:paraId="2FFE52F2">
      <w:pPr>
        <w:pStyle w:val="38"/>
        <w:numPr>
          <w:ilvl w:val="0"/>
          <w:numId w:val="7"/>
        </w:numPr>
        <w:spacing w:line="560" w:lineRule="exact"/>
        <w:ind w:firstLine="640"/>
        <w:rPr>
          <w:rFonts w:hint="eastAsia" w:ascii="仿宋" w:hAnsi="仿宋" w:eastAsia="仿宋"/>
          <w:sz w:val="32"/>
          <w:szCs w:val="32"/>
        </w:rPr>
      </w:pPr>
      <w:r>
        <w:rPr>
          <w:rFonts w:hint="eastAsia" w:ascii="仿宋" w:hAnsi="仿宋" w:eastAsia="仿宋"/>
          <w:sz w:val="32"/>
          <w:szCs w:val="32"/>
        </w:rPr>
        <w:t>纵向水平杆：纵向水平杆应设置在立杆内侧，单根杆长度不应小于3跨，接长应采用对接扣件连接或搭接，两根相邻纵向水平杆的接头不应设置在同步或同跨内，不同步或不同跨两个相邻接头在水平方向错开的距离不应小于500mm；各接头中心至最近主节点的距离不应大于纵距的1/3。搭接长度不应小于1m，应等间距设置3个旋转扣件固定；端部扣件盖板边缘至搭接纵向水平杆杆端的距离不应小于100mm。当使用冲压钢脚手板、木脚手板、竹串片脚手板时，纵向水平杆应作为横向水平杆的支座，用直角扣件固定在立杆上；当使用竹笆脚手板时，纵向水平杆应采用直角扣件固定在横向水平杆上，并应等间距设置，间距不应大于400mm。</w:t>
      </w:r>
    </w:p>
    <w:p w14:paraId="4AC0CFDA">
      <w:pPr>
        <w:pStyle w:val="38"/>
        <w:numPr>
          <w:ilvl w:val="0"/>
          <w:numId w:val="7"/>
        </w:numPr>
        <w:spacing w:line="560" w:lineRule="exact"/>
        <w:ind w:firstLine="640"/>
        <w:rPr>
          <w:rFonts w:hint="eastAsia" w:ascii="仿宋" w:hAnsi="仿宋" w:eastAsia="仿宋"/>
          <w:sz w:val="32"/>
          <w:szCs w:val="32"/>
        </w:rPr>
      </w:pPr>
      <w:r>
        <w:rPr>
          <w:rFonts w:hint="eastAsia" w:ascii="仿宋" w:hAnsi="仿宋" w:eastAsia="仿宋"/>
          <w:sz w:val="32"/>
          <w:szCs w:val="32"/>
        </w:rPr>
        <w:t>横向水平杆：主节点处应设置一根横向水平杆，用直角扣件扣接且不得拆除。作业层上非主节点处的横向水平杆，宜根据支承脚手板的需要等间距设置，最大间距不应大于纵距的1／2；当使用冲压钢脚手板、木脚手板、竹串片脚手板时，双排脚手架的横向水平杆两端均应采用直角扣件固定在纵向水平杆上；当使用竹笆脚手板时，双排脚手架的横向水平杆的两端，应用直角扣件固定在立杆上。</w:t>
      </w:r>
    </w:p>
    <w:p w14:paraId="61F2B20A">
      <w:pPr>
        <w:pStyle w:val="38"/>
        <w:numPr>
          <w:ilvl w:val="0"/>
          <w:numId w:val="7"/>
        </w:numPr>
        <w:spacing w:line="560" w:lineRule="exact"/>
        <w:ind w:firstLine="640"/>
        <w:rPr>
          <w:rFonts w:hint="eastAsia" w:ascii="仿宋" w:hAnsi="仿宋" w:eastAsia="仿宋"/>
          <w:sz w:val="32"/>
          <w:szCs w:val="32"/>
        </w:rPr>
      </w:pPr>
      <w:r>
        <w:rPr>
          <w:rFonts w:hint="eastAsia" w:ascii="仿宋" w:hAnsi="仿宋" w:eastAsia="仿宋"/>
          <w:sz w:val="32"/>
          <w:szCs w:val="32"/>
        </w:rPr>
        <w:t>脚手板：作业层脚手板应铺满、铺稳、铺实。冲压钢脚手板、木脚手板、竹串片脚手板等，应设置在不少于3根横向水平杆上。当脚手板长度小于2m时，可采用2根横向水平杆支承，但应将脚手板两端与横向水平杆可靠固定，严防倾翻。脚手板的铺设应采用对接平铺或搭接铺设。脚手板对接平铺时，接头处应设2根横向水平杆，脚手板外伸长度应取130mm～150mm，两块脚手板外伸长度的和不应大于300mm；脚手板搭接铺设时，接头应支在横向水平杆上，搭接长度不应小于200mm，其伸出横向水平杆的长度不应小于100mm。</w:t>
      </w:r>
    </w:p>
    <w:p w14:paraId="36A50D4A">
      <w:pPr>
        <w:pStyle w:val="38"/>
        <w:numPr>
          <w:ilvl w:val="0"/>
          <w:numId w:val="7"/>
        </w:numPr>
        <w:spacing w:line="560" w:lineRule="exact"/>
        <w:ind w:firstLine="640"/>
        <w:rPr>
          <w:rFonts w:hint="eastAsia" w:ascii="仿宋" w:hAnsi="仿宋" w:eastAsia="仿宋"/>
          <w:sz w:val="32"/>
          <w:szCs w:val="32"/>
        </w:rPr>
      </w:pPr>
      <w:r>
        <w:rPr>
          <w:rFonts w:hint="eastAsia" w:ascii="仿宋" w:hAnsi="仿宋" w:eastAsia="仿宋"/>
          <w:sz w:val="32"/>
          <w:szCs w:val="32"/>
        </w:rPr>
        <w:t>立杆：每根立杆底部应设置底座或垫板。脚手架立杆基础不在同一高度上时，应将高处的纵向扫地杆向低处延长两跨与立杆固定，高低差不应大于1m。靠边坡上方的立杆轴线到边坡的距离不应小于500mm。立杆接长除顶层顶步外，其余各层各步接头应采用对接扣件连接。当立杆采用对接接长时，立杆的对接扣件应交错布置，2根相邻立杆的接头不应设置在同步内，同步内隔一根立杆的2个相隔接头在高度方向错开的距离不宜小于500mm；各接头中心至主节点的距离不宜大于步距的1／3。当顶层顶步立杆采用搭接接长时，搭接长度不应小于1m，并应采用不少于2个旋转扣件固定。端部扣件盖板的边缘至杆端距离不应小于100mm。搭接长度宜以扣件中心计算。</w:t>
      </w:r>
    </w:p>
    <w:p w14:paraId="74FB99AF">
      <w:pPr>
        <w:pStyle w:val="38"/>
        <w:numPr>
          <w:ilvl w:val="0"/>
          <w:numId w:val="7"/>
        </w:numPr>
        <w:spacing w:line="560" w:lineRule="exact"/>
        <w:ind w:firstLine="640"/>
        <w:rPr>
          <w:rFonts w:hint="eastAsia" w:ascii="仿宋" w:hAnsi="仿宋" w:eastAsia="仿宋"/>
          <w:sz w:val="32"/>
          <w:szCs w:val="32"/>
        </w:rPr>
      </w:pPr>
      <w:r>
        <w:rPr>
          <w:rFonts w:hint="eastAsia" w:ascii="仿宋" w:hAnsi="仿宋" w:eastAsia="仿宋"/>
          <w:sz w:val="32"/>
          <w:szCs w:val="32"/>
        </w:rPr>
        <w:t>斜道：人行并兼作材料运输的斜道，当高度不大于6m时，宜采用一字形斜道；当高度大于6m时，宜采用之字形斜道。斜道应附着外脚手架或建筑物设置，运料斜道宽度不应小于1.5m，坡度不应大于1:6；人行斜道宽度不应小于1m，坡度不应大于1:3；斜道两侧及平台外围均应设置栏杆及挡脚板；栏杆高度应为1.2m，挡脚板高度不应小于180mm；运料斜道两端、平台外围和端部均应按规定设置连墙件。</w:t>
      </w:r>
    </w:p>
    <w:p w14:paraId="7343CB8D">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（四）悬挑脚手架</w:t>
      </w:r>
    </w:p>
    <w:p w14:paraId="0AE4DF88">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1.型钢悬挑梁宜采用双轴对称截面的型钢。悬挑钢梁型号及锚固件应按设计确定，钢梁截面高度不应小于160mm。悬挑梁尾端应在2处及以上固定于钢筋混凝土梁板结构上。锚固型钢悬挑梁的U形钢筋拉环或锚固螺栓直径不宜小于16mm。悬挑端宜按悬挑跨度起拱0.5％～1％，U形钢筋拉环或锚固螺栓应预埋至混凝土梁、板底层钢筋位置，并应与混凝土梁、板底层钢筋焊接或绑扎牢固。用于锚固的U形钢筋拉环或螺栓应采用冷弯成形，与型钢间隙应用钢楔或硬木楔楔紧。</w:t>
      </w:r>
    </w:p>
    <w:p w14:paraId="096008E6">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2.每个型钢悬挑梁外端宜设置钢丝绳或钢拉杆与上一层建筑结构斜拉结。钢丝绳、钢拉杆不参与悬挑钢梁受力计算；钢丝绳与建筑结构拉结的吊环应使用HPB300级钢筋，其直径不宜小于20mm。</w:t>
      </w:r>
    </w:p>
    <w:p w14:paraId="444224A3">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3.每个型钢悬挑梁外端宜设置钢丝绳或钢拉杆与上一层建筑结构斜拉结。钢丝绳、钢拉杆不参与悬挑钢梁受力计算；钢丝绳与建筑结构拉结的吊环应使用HPB300级钢筋，其直径不宜小于20mm，吊环预埋锚固长度应符合现行国家标准《混凝土结构设计规范》GB50010中钢筋锚固的规定。</w:t>
      </w:r>
    </w:p>
    <w:p w14:paraId="38846D30">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4.当型钢悬挑梁与建筑结构采用螺栓钢压板连接固定时，钢压板尺寸不应小于100mm×10mm（宽×厚）；当采用螺栓角钢压板连接时，角钢的规格不应小于63mm×63mm×6mm。</w:t>
      </w:r>
    </w:p>
    <w:p w14:paraId="4B5D9A76">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5.型钢悬挑梁悬挑端应设置能使脚手架立杆与钢梁可靠固定的定位点，定位点离悬挑梁端部不应小于100mm。悬挑梁间距应按悬挑架架体立杆纵距设置，宜每一纵距设置一根，当立杆纵距与悬挑梁纵向间距不相等时，宜在悬挑梁间设置纵向钢梁，且应在悬挑梁焊接钢构件可靠固定纵向钢梁，同时计算纵向钢梁的挠度和强度。</w:t>
      </w:r>
    </w:p>
    <w:p w14:paraId="60FB7A68">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6.悬挑架的外立面剪刀撑应自下而上连续设置。立杆、纵横向水平杆、连墙件、脚手板的的设置及构造要求同落地式脚手架。</w:t>
      </w:r>
    </w:p>
    <w:p w14:paraId="2A93C3F2">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（五）满堂脚手架</w:t>
      </w:r>
    </w:p>
    <w:p w14:paraId="01D0DE6E">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1.满堂脚手架的高宽比不宜大于3，当高宽比大于2时，应在架体的外侧四周和内部水平间隔6～9m，竖向间隔4～6m设置连墙件与建筑结构拉结，当无法设置连墙件时，应采取设置钢丝绳张拉固定措施。</w:t>
      </w:r>
    </w:p>
    <w:p w14:paraId="44F1C853">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2.当有既有建筑结构时，满堂脚手架应与既有建筑结构可靠连接，连接点竖向间距不宜超过2步，水平向间距不宜大于8m，连接点至架体节点中心的距离不宜大于300mm；当遇柱时，宜采用抱箍式连接措施；当架体两端均有墙体或边梁时，可设置水平杆与墙或梁顶紧。</w:t>
      </w:r>
    </w:p>
    <w:p w14:paraId="0A9EF1FF">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3.满堂脚手架应在架体外侧四周及内部纵、横向每6m至8m由底至顶设置连续竖向剪刀撑。当架体搭设高度在8m以下时，应在架顶部设置连续水平剪刀撑；当架体搭设高度在8m及以上时，应在架体底部、顶部及竖向间隔不超过8m分别设置连续水平剪刀撑。水平剪刀撑宜在竖向剪刀撑斜杆相交平面设置。剪刀撑宽度应为6m～8m。</w:t>
      </w:r>
    </w:p>
    <w:p w14:paraId="0EB685F4">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4.最少跨数为2、3跨的满堂脚手架，宜按落地式脚手架的规定设置连墙件。当满堂脚手架局部承受集中荷载时，应按实际荷载计算并应局部加固，立杆需加密设置时，加密区的水平杆应向非加密区延伸不少于一跨；非加密区立杆间距应与加密区立杆间距互为倍数。</w:t>
      </w:r>
    </w:p>
    <w:p w14:paraId="0B3D8B9B">
      <w:pPr>
        <w:spacing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三、常见问题</w:t>
      </w:r>
    </w:p>
    <w:p w14:paraId="532161FE">
      <w:pPr>
        <w:spacing w:line="560" w:lineRule="exact"/>
        <w:ind w:firstLine="640" w:firstLineChars="200"/>
        <w:rPr>
          <w:rFonts w:hint="eastAsia" w:ascii="仿宋" w:hAnsi="仿宋" w:eastAsia="仿宋" w:cs="仿宋"/>
          <w:bCs/>
          <w:kern w:val="0"/>
          <w:sz w:val="32"/>
          <w:szCs w:val="32"/>
        </w:rPr>
      </w:pPr>
      <w:r>
        <w:rPr>
          <w:rFonts w:hint="eastAsia" w:ascii="仿宋" w:hAnsi="仿宋" w:eastAsia="仿宋" w:cs="仿宋"/>
          <w:bCs/>
          <w:kern w:val="0"/>
          <w:sz w:val="32"/>
          <w:szCs w:val="32"/>
        </w:rPr>
        <w:t>1.未编制脚手架专项施工方案，专项施工方案主要内容不符合编制指南要求。脚手架架体结构未进行设计计算，未制定安全保障措施。欠缺脚手架布置平面图、立面图等必要施工图纸。</w:t>
      </w:r>
    </w:p>
    <w:p w14:paraId="42B93F51">
      <w:pPr>
        <w:spacing w:line="560" w:lineRule="exact"/>
        <w:ind w:firstLine="640" w:firstLineChars="200"/>
        <w:rPr>
          <w:rFonts w:hint="eastAsia" w:ascii="仿宋" w:hAnsi="仿宋" w:eastAsia="仿宋" w:cs="仿宋"/>
          <w:bCs/>
          <w:kern w:val="0"/>
          <w:sz w:val="32"/>
          <w:szCs w:val="32"/>
        </w:rPr>
      </w:pPr>
      <w:r>
        <w:rPr>
          <w:rFonts w:hint="eastAsia" w:ascii="仿宋" w:hAnsi="仿宋" w:eastAsia="仿宋" w:cs="仿宋"/>
          <w:bCs/>
          <w:kern w:val="0"/>
          <w:sz w:val="32"/>
          <w:szCs w:val="32"/>
        </w:rPr>
        <w:t>2.脚手架进场材料欠缺产品质量合格文件，使用前未按要求见证检验合格。材料检验检测不符合专项施工方案和规范要求，进场材料验收资料不齐全。</w:t>
      </w:r>
    </w:p>
    <w:p w14:paraId="57BECB6F">
      <w:pPr>
        <w:spacing w:line="560" w:lineRule="exact"/>
        <w:ind w:firstLine="640" w:firstLineChars="200"/>
        <w:rPr>
          <w:rFonts w:hint="eastAsia" w:ascii="仿宋" w:hAnsi="仿宋" w:eastAsia="仿宋" w:cs="仿宋"/>
          <w:bCs/>
          <w:kern w:val="0"/>
          <w:sz w:val="32"/>
          <w:szCs w:val="32"/>
        </w:rPr>
      </w:pPr>
      <w:r>
        <w:rPr>
          <w:rFonts w:hint="eastAsia" w:ascii="仿宋" w:hAnsi="仿宋" w:eastAsia="仿宋" w:cs="仿宋"/>
          <w:bCs/>
          <w:kern w:val="0"/>
          <w:sz w:val="32"/>
          <w:szCs w:val="32"/>
        </w:rPr>
        <w:t>3.脚手架验收记录与现场施工进度不符，参加验收人员不符合规定。验收内容未量化，责任人未签字确认，验收后未设置验收标志牌。</w:t>
      </w:r>
    </w:p>
    <w:p w14:paraId="4D8F4654">
      <w:pPr>
        <w:pStyle w:val="38"/>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4.钢管存在开裂、严重锈蚀、壁厚达不到方案设计要求。钢管弯曲变形严重，超出规范允许偏差范围。扣件开裂、螺栓滑丝，扣件螺栓拧紧扭力矩小于 40N</w:t>
      </w:r>
      <w:r>
        <w:rPr>
          <w:rFonts w:hint="eastAsia" w:ascii="微软雅黑" w:hAnsi="微软雅黑" w:eastAsia="微软雅黑" w:cs="微软雅黑"/>
          <w:bCs/>
          <w:kern w:val="0"/>
          <w:sz w:val="32"/>
          <w:szCs w:val="32"/>
        </w:rPr>
        <w:t>・</w:t>
      </w:r>
      <w:r>
        <w:rPr>
          <w:rFonts w:hint="eastAsia" w:ascii="仿宋" w:hAnsi="仿宋" w:eastAsia="仿宋" w:cs="仿宋"/>
          <w:bCs/>
          <w:kern w:val="0"/>
          <w:sz w:val="32"/>
          <w:szCs w:val="32"/>
        </w:rPr>
        <w:t>m。型钢防腐措施不足导致锈蚀严重，型钢截面存在破损问题。钢丝绳锈蚀、断丝，损伤严重不符合规范要求。</w:t>
      </w:r>
    </w:p>
    <w:p w14:paraId="0C89D8AA">
      <w:pPr>
        <w:pStyle w:val="38"/>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5.立杆基础土层未夯实发生下沉，立杆地基未设置排水措施，场地存在积水。立杆架设在悬挑结构上，悬挑结构承载力不足且底部未设置支顶。脚手架底层立杆悬空，或与型钢接触不稳固、未可靠固定。</w:t>
      </w:r>
    </w:p>
    <w:p w14:paraId="1F49A490">
      <w:pPr>
        <w:pStyle w:val="38"/>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6.横向水平杆与立杆缺少扣件连接，作业层非主节点处横向水平杆缺失或间距过大。脚手架未设置纵横向扫地杆，横向扫地杆设置在纵向扫地杆之上。扫地杆离地高度超过 200mm，未按规范固定在立杆上。</w:t>
      </w:r>
    </w:p>
    <w:p w14:paraId="673AE1A1">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盘扣式脚手架插销未销紧，插销销紧后扣接头端部弧面未与立杆外表面贴合。盘扣式钢管脚手架外侧立面斜杆缺失、不连续，未按规范间距设置。</w:t>
      </w:r>
    </w:p>
    <w:p w14:paraId="58EEDBF7">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盘扣脚手架作业层未设置脚手板，脚手板安装不牢固。作业层防护栏杆高度不足，架体层间作业层临空一侧未设置防护栏杆。</w:t>
      </w:r>
    </w:p>
    <w:p w14:paraId="5E7983F2">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连墙件连接构配件不规范，水平或竖向间距超出规范要求，连墙点之上架体悬臂高度超过 2 步。连墙件离主节点距离大于300mm，未靠近主节点设置。</w:t>
      </w:r>
    </w:p>
    <w:p w14:paraId="76C7C65C">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脚手架门洞处未设置上升斜杆、平行弦杆桁架等加强构造措施。外脚手架未设置剪刀撑，或剪刀撑未连续布设、布设间距超出规范要求。剪刀撑斜杆搭接长度小于 1m，端部扣件盖板边缘至杆端距离小于100mm，接长不符合规范。人行斜道随意搭设，缺少临边防护，宽度、坡度不符合规范，拐弯处未设置平台。</w:t>
      </w:r>
    </w:p>
    <w:p w14:paraId="6911A364">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钢丝绳绕过飘板未增设防磨垫，钢丝绳绳卡设置方向不正确。钢丝绳绳卡数量不足、间距不符合6-7倍钢丝绳直径要求，钢丝绳未张紧或返松。</w:t>
      </w:r>
    </w:p>
    <w:p w14:paraId="64B629CA">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悬挑型钢锚固尾端悬空，锚固卡环不垂直，U型拉环与型钢间隙未用钢楔或硬木楔楔紧。悬挑型钢端部仅设置1个锚固卡环，锚固卡环布设间距小于200mm。悬挑型钢锚固段长度小于1.25倍悬挑段长度。锚固环钢压板尺寸过小（小于100mm×10mm），角钢规格过小（小于63mm×63mm×6mm）、螺杆过短。悬挑型钢固定端采用钢筋点焊固定，未按规范采用螺栓钢压板或角钢压板固定。悬挑型钢前端未设置钢丝绳或钢拉杆与建筑结构拉结，钢丝绳拉吊在型钢次梁上而非主梁。</w:t>
      </w:r>
    </w:p>
    <w:p w14:paraId="3B6E0AE4">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开口型脚手架端部未设横向斜撑、连墙件，未设置水平栏杆和安全网全封闭。物料平台与外脚手架作业层间隙过大，未做封闭处理，物料平台围护不严密。物料平台水平栏杆设置不足、未设置挡脚板，落地式物料平台高宽比大于3。物料平台剪刀撑设置不规范，未按要求增设斜撑或剪刀撑，悬挑式平台根部未设置限位装置。操作平台搭设随意不规范，未通过设计计算、未编制专项方案，临边未设置防护栏杆。</w:t>
      </w:r>
    </w:p>
    <w:p w14:paraId="07A4A4DF">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外脚手架作业层堆放过多物料，超载使用架体。脚手架底部未设置安全网封闭，首层外侧未设置安全网封闭。</w:t>
      </w:r>
    </w:p>
    <w:p w14:paraId="5255C2E5">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脚手架拆除时，随意拆除安全网、挡脚板和剪刀撑，未按自上而下顺序逐层拆除。脚手架拆除时上下同时作业，安全防护未随架体拆除同步拆除。</w:t>
      </w:r>
    </w:p>
    <w:p w14:paraId="3F22BAC3">
      <w:pPr>
        <w:spacing w:line="560" w:lineRule="exact"/>
        <w:rPr>
          <w:rFonts w:hint="eastAsia" w:ascii="仿宋" w:hAnsi="仿宋" w:eastAsia="仿宋" w:cs="仿宋"/>
          <w:bCs/>
          <w:kern w:val="0"/>
          <w:sz w:val="32"/>
          <w:szCs w:val="32"/>
        </w:rPr>
      </w:pPr>
    </w:p>
    <w:p w14:paraId="32639013">
      <w:pPr>
        <w:spacing w:line="560" w:lineRule="exact"/>
        <w:rPr>
          <w:rFonts w:hint="eastAsia" w:ascii="仿宋" w:hAnsi="仿宋" w:eastAsia="仿宋"/>
          <w:sz w:val="32"/>
          <w:szCs w:val="32"/>
        </w:rPr>
      </w:pPr>
      <w:r>
        <w:rPr>
          <w:rFonts w:hint="eastAsia" w:ascii="仿宋" w:hAnsi="仿宋" w:eastAsia="仿宋"/>
          <w:sz w:val="32"/>
          <w:szCs w:val="32"/>
        </w:rPr>
        <w:br w:type="page"/>
      </w:r>
    </w:p>
    <w:p w14:paraId="309AFC73">
      <w:pPr>
        <w:spacing w:before="120" w:beforeLines="50" w:after="120" w:afterLines="50" w:line="560" w:lineRule="exact"/>
        <w:jc w:val="center"/>
        <w:rPr>
          <w:rFonts w:hint="eastAsia" w:ascii="仿宋" w:hAnsi="仿宋" w:eastAsia="仿宋"/>
          <w:b/>
          <w:bCs/>
          <w:sz w:val="32"/>
          <w:szCs w:val="32"/>
        </w:rPr>
      </w:pPr>
      <w:r>
        <w:rPr>
          <w:rFonts w:hint="eastAsia" w:ascii="仿宋" w:hAnsi="仿宋" w:eastAsia="仿宋"/>
          <w:b/>
          <w:bCs/>
          <w:sz w:val="32"/>
          <w:szCs w:val="32"/>
        </w:rPr>
        <w:t>湖南省建设工程</w:t>
      </w:r>
      <w:r>
        <w:rPr>
          <w:rFonts w:hint="eastAsia" w:ascii="仿宋" w:hAnsi="仿宋" w:eastAsia="仿宋"/>
          <w:b/>
          <w:bCs/>
          <w:color w:val="000000" w:themeColor="text1"/>
          <w:sz w:val="32"/>
          <w:szCs w:val="32"/>
          <w14:textFill>
            <w14:solidFill>
              <w14:schemeClr w14:val="tx1"/>
            </w14:solidFill>
          </w14:textFill>
        </w:rPr>
        <w:t>（脚手架、支模架）材料和构配件及安全网</w:t>
      </w:r>
      <w:r>
        <w:rPr>
          <w:rFonts w:hint="eastAsia" w:ascii="仿宋" w:hAnsi="仿宋" w:eastAsia="仿宋"/>
          <w:b/>
          <w:bCs/>
          <w:sz w:val="32"/>
          <w:szCs w:val="32"/>
        </w:rPr>
        <w:t>进场质量抽查表</w:t>
      </w:r>
    </w:p>
    <w:p w14:paraId="44D38F8F">
      <w:pPr>
        <w:spacing w:after="120" w:afterLines="50"/>
        <w:rPr>
          <w:rFonts w:hint="eastAsia" w:ascii="仿宋" w:hAnsi="仿宋" w:eastAsia="仿宋"/>
          <w:sz w:val="32"/>
          <w:szCs w:val="32"/>
        </w:rPr>
      </w:pPr>
      <w:r>
        <w:rPr>
          <w:rFonts w:hint="eastAsia" w:ascii="仿宋" w:hAnsi="仿宋" w:eastAsia="仿宋"/>
          <w:sz w:val="32"/>
          <w:szCs w:val="32"/>
        </w:rPr>
        <w:t>工程名称：                                  编号:</w:t>
      </w:r>
    </w:p>
    <w:tbl>
      <w:tblPr>
        <w:tblStyle w:val="13"/>
        <w:tblW w:w="5006" w:type="pct"/>
        <w:tblInd w:w="-5" w:type="dxa"/>
        <w:tblLayout w:type="fixed"/>
        <w:tblCellMar>
          <w:top w:w="0" w:type="dxa"/>
          <w:left w:w="108" w:type="dxa"/>
          <w:bottom w:w="0" w:type="dxa"/>
          <w:right w:w="108" w:type="dxa"/>
        </w:tblCellMar>
      </w:tblPr>
      <w:tblGrid>
        <w:gridCol w:w="844"/>
        <w:gridCol w:w="2064"/>
        <w:gridCol w:w="1163"/>
        <w:gridCol w:w="343"/>
        <w:gridCol w:w="1054"/>
        <w:gridCol w:w="939"/>
        <w:gridCol w:w="2663"/>
      </w:tblGrid>
      <w:tr w14:paraId="35EE9526">
        <w:tblPrEx>
          <w:tblCellMar>
            <w:top w:w="0" w:type="dxa"/>
            <w:left w:w="108" w:type="dxa"/>
            <w:bottom w:w="0" w:type="dxa"/>
            <w:right w:w="108" w:type="dxa"/>
          </w:tblCellMar>
        </w:tblPrEx>
        <w:trPr>
          <w:trHeight w:val="295" w:hRule="atLeast"/>
        </w:trPr>
        <w:tc>
          <w:tcPr>
            <w:tcW w:w="465" w:type="pct"/>
            <w:vMerge w:val="restart"/>
            <w:tcBorders>
              <w:top w:val="single" w:color="auto" w:sz="4" w:space="0"/>
              <w:left w:val="single" w:color="auto" w:sz="4" w:space="0"/>
              <w:bottom w:val="single" w:color="000000" w:sz="4" w:space="0"/>
              <w:right w:val="single" w:color="auto" w:sz="4" w:space="0"/>
            </w:tcBorders>
            <w:vAlign w:val="center"/>
          </w:tcPr>
          <w:p w14:paraId="03373B3E">
            <w:pPr>
              <w:widowControl/>
              <w:rPr>
                <w:rFonts w:hint="eastAsia" w:ascii="仿宋" w:hAnsi="仿宋" w:eastAsia="仿宋" w:cs="仿宋"/>
                <w:kern w:val="0"/>
                <w:sz w:val="32"/>
                <w:szCs w:val="32"/>
              </w:rPr>
            </w:pPr>
            <w:r>
              <w:rPr>
                <w:rFonts w:hint="eastAsia" w:ascii="仿宋" w:hAnsi="仿宋" w:eastAsia="仿宋" w:cs="仿宋"/>
                <w:kern w:val="0"/>
                <w:sz w:val="32"/>
                <w:szCs w:val="32"/>
              </w:rPr>
              <w:t>名称</w:t>
            </w:r>
          </w:p>
        </w:tc>
        <w:tc>
          <w:tcPr>
            <w:tcW w:w="1138" w:type="pct"/>
            <w:vMerge w:val="restart"/>
            <w:tcBorders>
              <w:top w:val="single" w:color="auto" w:sz="4" w:space="0"/>
              <w:left w:val="single" w:color="auto" w:sz="4" w:space="0"/>
              <w:bottom w:val="single" w:color="000000" w:sz="4" w:space="0"/>
              <w:right w:val="single" w:color="auto" w:sz="4" w:space="0"/>
            </w:tcBorders>
            <w:vAlign w:val="center"/>
          </w:tcPr>
          <w:p w14:paraId="78E86847">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租赁单位</w:t>
            </w:r>
          </w:p>
        </w:tc>
        <w:tc>
          <w:tcPr>
            <w:tcW w:w="641" w:type="pct"/>
            <w:vMerge w:val="restart"/>
            <w:tcBorders>
              <w:top w:val="single" w:color="auto" w:sz="4" w:space="0"/>
              <w:left w:val="single" w:color="auto" w:sz="4" w:space="0"/>
              <w:bottom w:val="single" w:color="000000" w:sz="4" w:space="0"/>
              <w:right w:val="single" w:color="auto" w:sz="4" w:space="0"/>
            </w:tcBorders>
            <w:vAlign w:val="center"/>
          </w:tcPr>
          <w:p w14:paraId="06F552D3">
            <w:pPr>
              <w:widowControl/>
              <w:rPr>
                <w:rFonts w:hint="eastAsia" w:ascii="仿宋" w:hAnsi="仿宋" w:eastAsia="仿宋" w:cs="仿宋"/>
                <w:kern w:val="0"/>
                <w:sz w:val="32"/>
                <w:szCs w:val="32"/>
              </w:rPr>
            </w:pPr>
            <w:r>
              <w:rPr>
                <w:rFonts w:hint="eastAsia" w:ascii="仿宋" w:hAnsi="仿宋" w:eastAsia="仿宋" w:cs="仿宋"/>
                <w:kern w:val="0"/>
                <w:sz w:val="32"/>
                <w:szCs w:val="32"/>
              </w:rPr>
              <w:t>质量证明文件</w:t>
            </w:r>
          </w:p>
        </w:tc>
        <w:tc>
          <w:tcPr>
            <w:tcW w:w="770" w:type="pct"/>
            <w:gridSpan w:val="2"/>
            <w:vMerge w:val="restart"/>
            <w:tcBorders>
              <w:top w:val="single" w:color="auto" w:sz="4" w:space="0"/>
              <w:left w:val="single" w:color="auto" w:sz="4" w:space="0"/>
              <w:bottom w:val="single" w:color="000000" w:sz="4" w:space="0"/>
              <w:right w:val="single" w:color="auto" w:sz="4" w:space="0"/>
            </w:tcBorders>
            <w:vAlign w:val="center"/>
          </w:tcPr>
          <w:p w14:paraId="0C7729C5">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总重量（t）</w:t>
            </w:r>
          </w:p>
        </w:tc>
        <w:tc>
          <w:tcPr>
            <w:tcW w:w="518" w:type="pct"/>
            <w:vMerge w:val="restart"/>
            <w:tcBorders>
              <w:top w:val="single" w:color="auto" w:sz="4" w:space="0"/>
              <w:left w:val="single" w:color="auto" w:sz="4" w:space="0"/>
              <w:bottom w:val="single" w:color="000000" w:sz="4" w:space="0"/>
              <w:right w:val="single" w:color="auto" w:sz="4" w:space="0"/>
            </w:tcBorders>
            <w:vAlign w:val="center"/>
          </w:tcPr>
          <w:p w14:paraId="528A181F">
            <w:pPr>
              <w:widowControl/>
              <w:rPr>
                <w:rFonts w:hint="eastAsia" w:ascii="仿宋" w:hAnsi="仿宋" w:eastAsia="仿宋" w:cs="仿宋"/>
                <w:kern w:val="0"/>
                <w:sz w:val="32"/>
                <w:szCs w:val="32"/>
              </w:rPr>
            </w:pPr>
            <w:r>
              <w:rPr>
                <w:rFonts w:hint="eastAsia" w:ascii="仿宋" w:hAnsi="仿宋" w:eastAsia="仿宋" w:cs="仿宋"/>
                <w:kern w:val="0"/>
                <w:sz w:val="32"/>
                <w:szCs w:val="32"/>
              </w:rPr>
              <w:t>批量（m）</w:t>
            </w:r>
          </w:p>
        </w:tc>
        <w:tc>
          <w:tcPr>
            <w:tcW w:w="1468" w:type="pct"/>
            <w:tcBorders>
              <w:top w:val="single" w:color="auto" w:sz="4" w:space="0"/>
              <w:left w:val="nil"/>
              <w:bottom w:val="single" w:color="auto" w:sz="4" w:space="0"/>
              <w:right w:val="single" w:color="auto" w:sz="4" w:space="0"/>
            </w:tcBorders>
            <w:vAlign w:val="center"/>
          </w:tcPr>
          <w:p w14:paraId="16CC47E3">
            <w:pPr>
              <w:widowControl/>
              <w:rPr>
                <w:rFonts w:hint="eastAsia" w:ascii="仿宋" w:hAnsi="仿宋" w:eastAsia="仿宋" w:cs="仿宋"/>
                <w:kern w:val="0"/>
                <w:sz w:val="32"/>
                <w:szCs w:val="32"/>
              </w:rPr>
            </w:pPr>
            <w:r>
              <w:rPr>
                <w:rFonts w:hint="eastAsia" w:ascii="仿宋" w:hAnsi="仿宋" w:eastAsia="仿宋" w:cs="仿宋"/>
                <w:kern w:val="0"/>
                <w:sz w:val="32"/>
                <w:szCs w:val="32"/>
              </w:rPr>
              <w:t>平均重量kg/m</w:t>
            </w:r>
          </w:p>
        </w:tc>
      </w:tr>
      <w:tr w14:paraId="324A6E7E">
        <w:tblPrEx>
          <w:tblCellMar>
            <w:top w:w="0" w:type="dxa"/>
            <w:left w:w="108" w:type="dxa"/>
            <w:bottom w:w="0" w:type="dxa"/>
            <w:right w:w="108" w:type="dxa"/>
          </w:tblCellMar>
        </w:tblPrEx>
        <w:trPr>
          <w:trHeight w:val="278" w:hRule="atLeast"/>
        </w:trPr>
        <w:tc>
          <w:tcPr>
            <w:tcW w:w="465" w:type="pct"/>
            <w:vMerge w:val="continue"/>
            <w:tcBorders>
              <w:top w:val="single" w:color="auto" w:sz="4" w:space="0"/>
              <w:left w:val="single" w:color="auto" w:sz="4" w:space="0"/>
              <w:bottom w:val="single" w:color="000000" w:sz="4" w:space="0"/>
              <w:right w:val="single" w:color="auto" w:sz="4" w:space="0"/>
            </w:tcBorders>
            <w:vAlign w:val="center"/>
          </w:tcPr>
          <w:p w14:paraId="1CDCA9CD">
            <w:pPr>
              <w:widowControl/>
              <w:rPr>
                <w:rFonts w:hint="eastAsia" w:ascii="仿宋" w:hAnsi="仿宋" w:eastAsia="仿宋" w:cs="仿宋"/>
                <w:kern w:val="0"/>
                <w:sz w:val="32"/>
                <w:szCs w:val="32"/>
              </w:rPr>
            </w:pPr>
          </w:p>
        </w:tc>
        <w:tc>
          <w:tcPr>
            <w:tcW w:w="1138" w:type="pct"/>
            <w:vMerge w:val="continue"/>
            <w:tcBorders>
              <w:top w:val="single" w:color="auto" w:sz="4" w:space="0"/>
              <w:left w:val="single" w:color="auto" w:sz="4" w:space="0"/>
              <w:bottom w:val="single" w:color="000000" w:sz="4" w:space="0"/>
              <w:right w:val="single" w:color="auto" w:sz="4" w:space="0"/>
            </w:tcBorders>
            <w:vAlign w:val="center"/>
          </w:tcPr>
          <w:p w14:paraId="586ACC87">
            <w:pPr>
              <w:widowControl/>
              <w:rPr>
                <w:rFonts w:hint="eastAsia" w:ascii="仿宋" w:hAnsi="仿宋" w:eastAsia="仿宋" w:cs="仿宋"/>
                <w:kern w:val="0"/>
                <w:sz w:val="32"/>
                <w:szCs w:val="32"/>
              </w:rPr>
            </w:pPr>
          </w:p>
        </w:tc>
        <w:tc>
          <w:tcPr>
            <w:tcW w:w="641" w:type="pct"/>
            <w:vMerge w:val="continue"/>
            <w:tcBorders>
              <w:top w:val="single" w:color="auto" w:sz="4" w:space="0"/>
              <w:left w:val="single" w:color="auto" w:sz="4" w:space="0"/>
              <w:bottom w:val="single" w:color="000000" w:sz="4" w:space="0"/>
              <w:right w:val="single" w:color="auto" w:sz="4" w:space="0"/>
            </w:tcBorders>
            <w:vAlign w:val="center"/>
          </w:tcPr>
          <w:p w14:paraId="14353395">
            <w:pPr>
              <w:widowControl/>
              <w:rPr>
                <w:rFonts w:hint="eastAsia" w:ascii="仿宋" w:hAnsi="仿宋" w:eastAsia="仿宋" w:cs="仿宋"/>
                <w:kern w:val="0"/>
                <w:sz w:val="32"/>
                <w:szCs w:val="32"/>
              </w:rPr>
            </w:pPr>
          </w:p>
        </w:tc>
        <w:tc>
          <w:tcPr>
            <w:tcW w:w="770" w:type="pct"/>
            <w:gridSpan w:val="2"/>
            <w:vMerge w:val="continue"/>
            <w:tcBorders>
              <w:top w:val="single" w:color="auto" w:sz="4" w:space="0"/>
              <w:left w:val="single" w:color="auto" w:sz="4" w:space="0"/>
              <w:bottom w:val="single" w:color="000000" w:sz="4" w:space="0"/>
              <w:right w:val="single" w:color="auto" w:sz="4" w:space="0"/>
            </w:tcBorders>
            <w:vAlign w:val="center"/>
          </w:tcPr>
          <w:p w14:paraId="58089B1E">
            <w:pPr>
              <w:widowControl/>
              <w:rPr>
                <w:rFonts w:hint="eastAsia" w:ascii="仿宋" w:hAnsi="仿宋" w:eastAsia="仿宋" w:cs="仿宋"/>
                <w:kern w:val="0"/>
                <w:sz w:val="32"/>
                <w:szCs w:val="32"/>
              </w:rPr>
            </w:pPr>
          </w:p>
        </w:tc>
        <w:tc>
          <w:tcPr>
            <w:tcW w:w="518" w:type="pct"/>
            <w:vMerge w:val="continue"/>
            <w:tcBorders>
              <w:top w:val="single" w:color="auto" w:sz="4" w:space="0"/>
              <w:left w:val="single" w:color="auto" w:sz="4" w:space="0"/>
              <w:bottom w:val="single" w:color="000000" w:sz="4" w:space="0"/>
              <w:right w:val="single" w:color="auto" w:sz="4" w:space="0"/>
            </w:tcBorders>
            <w:vAlign w:val="center"/>
          </w:tcPr>
          <w:p w14:paraId="5D33AC62">
            <w:pPr>
              <w:widowControl/>
              <w:rPr>
                <w:rFonts w:hint="eastAsia" w:ascii="仿宋" w:hAnsi="仿宋" w:eastAsia="仿宋" w:cs="仿宋"/>
                <w:kern w:val="0"/>
                <w:sz w:val="32"/>
                <w:szCs w:val="32"/>
              </w:rPr>
            </w:pPr>
          </w:p>
        </w:tc>
        <w:tc>
          <w:tcPr>
            <w:tcW w:w="1468" w:type="pct"/>
            <w:tcBorders>
              <w:top w:val="nil"/>
              <w:left w:val="nil"/>
              <w:bottom w:val="single" w:color="auto" w:sz="4" w:space="0"/>
              <w:right w:val="single" w:color="auto" w:sz="4" w:space="0"/>
            </w:tcBorders>
            <w:vAlign w:val="center"/>
          </w:tcPr>
          <w:p w14:paraId="22690751">
            <w:pPr>
              <w:widowControl/>
              <w:rPr>
                <w:rFonts w:hint="eastAsia" w:ascii="仿宋" w:hAnsi="仿宋" w:eastAsia="仿宋" w:cs="仿宋"/>
                <w:kern w:val="0"/>
                <w:sz w:val="32"/>
                <w:szCs w:val="32"/>
              </w:rPr>
            </w:pPr>
            <w:r>
              <w:rPr>
                <w:rFonts w:hint="eastAsia" w:ascii="仿宋" w:hAnsi="仿宋" w:eastAsia="仿宋" w:cs="仿宋"/>
                <w:kern w:val="0"/>
                <w:sz w:val="32"/>
                <w:szCs w:val="32"/>
              </w:rPr>
              <w:t>要求：&gt;3.07kg/m</w:t>
            </w:r>
          </w:p>
        </w:tc>
      </w:tr>
      <w:tr w14:paraId="29AAD0CF">
        <w:tblPrEx>
          <w:tblCellMar>
            <w:top w:w="0" w:type="dxa"/>
            <w:left w:w="108" w:type="dxa"/>
            <w:bottom w:w="0" w:type="dxa"/>
            <w:right w:w="108" w:type="dxa"/>
          </w:tblCellMar>
        </w:tblPrEx>
        <w:trPr>
          <w:trHeight w:val="624" w:hRule="atLeast"/>
        </w:trPr>
        <w:tc>
          <w:tcPr>
            <w:tcW w:w="465" w:type="pct"/>
            <w:vMerge w:val="restart"/>
            <w:tcBorders>
              <w:top w:val="nil"/>
              <w:left w:val="single" w:color="auto" w:sz="4" w:space="0"/>
              <w:bottom w:val="single" w:color="000000" w:sz="4" w:space="0"/>
              <w:right w:val="single" w:color="auto" w:sz="4" w:space="0"/>
            </w:tcBorders>
            <w:vAlign w:val="center"/>
          </w:tcPr>
          <w:p w14:paraId="6C7D96DC">
            <w:pPr>
              <w:widowControl/>
              <w:rPr>
                <w:rFonts w:hint="eastAsia" w:ascii="仿宋" w:hAnsi="仿宋" w:eastAsia="仿宋" w:cs="仿宋"/>
                <w:kern w:val="0"/>
                <w:sz w:val="32"/>
                <w:szCs w:val="32"/>
              </w:rPr>
            </w:pPr>
          </w:p>
        </w:tc>
        <w:tc>
          <w:tcPr>
            <w:tcW w:w="1138" w:type="pct"/>
            <w:vMerge w:val="restart"/>
            <w:tcBorders>
              <w:top w:val="nil"/>
              <w:left w:val="single" w:color="auto" w:sz="4" w:space="0"/>
              <w:bottom w:val="single" w:color="000000" w:sz="4" w:space="0"/>
              <w:right w:val="single" w:color="auto" w:sz="4" w:space="0"/>
            </w:tcBorders>
            <w:vAlign w:val="center"/>
          </w:tcPr>
          <w:p w14:paraId="291173E1">
            <w:pPr>
              <w:widowControl/>
              <w:rPr>
                <w:rFonts w:hint="eastAsia" w:ascii="仿宋" w:hAnsi="仿宋" w:eastAsia="仿宋" w:cs="仿宋"/>
                <w:kern w:val="0"/>
                <w:sz w:val="32"/>
                <w:szCs w:val="32"/>
              </w:rPr>
            </w:pPr>
          </w:p>
        </w:tc>
        <w:tc>
          <w:tcPr>
            <w:tcW w:w="641" w:type="pct"/>
            <w:vMerge w:val="restart"/>
            <w:tcBorders>
              <w:top w:val="nil"/>
              <w:left w:val="single" w:color="auto" w:sz="4" w:space="0"/>
              <w:bottom w:val="single" w:color="000000" w:sz="4" w:space="0"/>
              <w:right w:val="single" w:color="auto" w:sz="4" w:space="0"/>
            </w:tcBorders>
            <w:vAlign w:val="center"/>
          </w:tcPr>
          <w:p w14:paraId="1D973F41">
            <w:pPr>
              <w:widowControl/>
              <w:rPr>
                <w:rFonts w:hint="eastAsia" w:ascii="仿宋" w:hAnsi="仿宋" w:eastAsia="仿宋" w:cs="仿宋"/>
                <w:kern w:val="0"/>
                <w:sz w:val="32"/>
                <w:szCs w:val="32"/>
              </w:rPr>
            </w:pPr>
          </w:p>
        </w:tc>
        <w:tc>
          <w:tcPr>
            <w:tcW w:w="770" w:type="pct"/>
            <w:gridSpan w:val="2"/>
            <w:vMerge w:val="restart"/>
            <w:tcBorders>
              <w:top w:val="nil"/>
              <w:left w:val="single" w:color="auto" w:sz="4" w:space="0"/>
              <w:bottom w:val="single" w:color="000000" w:sz="4" w:space="0"/>
              <w:right w:val="single" w:color="auto" w:sz="4" w:space="0"/>
            </w:tcBorders>
            <w:vAlign w:val="center"/>
          </w:tcPr>
          <w:p w14:paraId="4E626326">
            <w:pPr>
              <w:widowControl/>
              <w:rPr>
                <w:rFonts w:hint="eastAsia" w:ascii="仿宋" w:hAnsi="仿宋" w:eastAsia="仿宋" w:cs="仿宋"/>
                <w:kern w:val="0"/>
                <w:sz w:val="32"/>
                <w:szCs w:val="32"/>
              </w:rPr>
            </w:pPr>
          </w:p>
        </w:tc>
        <w:tc>
          <w:tcPr>
            <w:tcW w:w="518" w:type="pct"/>
            <w:vMerge w:val="restart"/>
            <w:tcBorders>
              <w:top w:val="nil"/>
              <w:left w:val="single" w:color="auto" w:sz="4" w:space="0"/>
              <w:bottom w:val="single" w:color="000000" w:sz="4" w:space="0"/>
              <w:right w:val="single" w:color="auto" w:sz="4" w:space="0"/>
            </w:tcBorders>
            <w:vAlign w:val="center"/>
          </w:tcPr>
          <w:p w14:paraId="2F828E09">
            <w:pPr>
              <w:widowControl/>
              <w:rPr>
                <w:rFonts w:hint="eastAsia" w:ascii="仿宋" w:hAnsi="仿宋" w:eastAsia="仿宋" w:cs="仿宋"/>
                <w:kern w:val="0"/>
                <w:sz w:val="32"/>
                <w:szCs w:val="32"/>
              </w:rPr>
            </w:pPr>
          </w:p>
        </w:tc>
        <w:tc>
          <w:tcPr>
            <w:tcW w:w="1468" w:type="pct"/>
            <w:vMerge w:val="restart"/>
            <w:tcBorders>
              <w:top w:val="nil"/>
              <w:left w:val="single" w:color="auto" w:sz="4" w:space="0"/>
              <w:bottom w:val="single" w:color="000000" w:sz="4" w:space="0"/>
              <w:right w:val="single" w:color="auto" w:sz="4" w:space="0"/>
            </w:tcBorders>
            <w:vAlign w:val="center"/>
          </w:tcPr>
          <w:p w14:paraId="3E8FB1F5">
            <w:pPr>
              <w:widowControl/>
              <w:rPr>
                <w:rFonts w:hint="eastAsia" w:ascii="仿宋" w:hAnsi="仿宋" w:eastAsia="仿宋" w:cs="仿宋"/>
                <w:kern w:val="0"/>
                <w:sz w:val="32"/>
                <w:szCs w:val="32"/>
              </w:rPr>
            </w:pPr>
          </w:p>
        </w:tc>
      </w:tr>
      <w:tr w14:paraId="055B1FEA">
        <w:tblPrEx>
          <w:tblCellMar>
            <w:top w:w="0" w:type="dxa"/>
            <w:left w:w="108" w:type="dxa"/>
            <w:bottom w:w="0" w:type="dxa"/>
            <w:right w:w="108" w:type="dxa"/>
          </w:tblCellMar>
        </w:tblPrEx>
        <w:trPr>
          <w:trHeight w:val="415" w:hRule="atLeast"/>
        </w:trPr>
        <w:tc>
          <w:tcPr>
            <w:tcW w:w="465" w:type="pct"/>
            <w:vMerge w:val="continue"/>
            <w:tcBorders>
              <w:top w:val="nil"/>
              <w:left w:val="single" w:color="auto" w:sz="4" w:space="0"/>
              <w:bottom w:val="single" w:color="000000" w:sz="4" w:space="0"/>
              <w:right w:val="single" w:color="auto" w:sz="4" w:space="0"/>
            </w:tcBorders>
            <w:vAlign w:val="center"/>
          </w:tcPr>
          <w:p w14:paraId="19194FA5">
            <w:pPr>
              <w:widowControl/>
              <w:rPr>
                <w:rFonts w:hint="eastAsia" w:ascii="仿宋" w:hAnsi="仿宋" w:eastAsia="仿宋" w:cs="仿宋"/>
                <w:kern w:val="0"/>
                <w:sz w:val="32"/>
                <w:szCs w:val="32"/>
              </w:rPr>
            </w:pPr>
          </w:p>
        </w:tc>
        <w:tc>
          <w:tcPr>
            <w:tcW w:w="1138" w:type="pct"/>
            <w:vMerge w:val="continue"/>
            <w:tcBorders>
              <w:top w:val="nil"/>
              <w:left w:val="single" w:color="auto" w:sz="4" w:space="0"/>
              <w:bottom w:val="single" w:color="000000" w:sz="4" w:space="0"/>
              <w:right w:val="single" w:color="auto" w:sz="4" w:space="0"/>
            </w:tcBorders>
            <w:vAlign w:val="center"/>
          </w:tcPr>
          <w:p w14:paraId="7B113A7D">
            <w:pPr>
              <w:widowControl/>
              <w:rPr>
                <w:rFonts w:hint="eastAsia" w:ascii="仿宋" w:hAnsi="仿宋" w:eastAsia="仿宋" w:cs="仿宋"/>
                <w:kern w:val="0"/>
                <w:sz w:val="32"/>
                <w:szCs w:val="32"/>
              </w:rPr>
            </w:pPr>
          </w:p>
        </w:tc>
        <w:tc>
          <w:tcPr>
            <w:tcW w:w="641" w:type="pct"/>
            <w:vMerge w:val="continue"/>
            <w:tcBorders>
              <w:top w:val="nil"/>
              <w:left w:val="single" w:color="auto" w:sz="4" w:space="0"/>
              <w:bottom w:val="single" w:color="000000" w:sz="4" w:space="0"/>
              <w:right w:val="single" w:color="auto" w:sz="4" w:space="0"/>
            </w:tcBorders>
            <w:vAlign w:val="center"/>
          </w:tcPr>
          <w:p w14:paraId="5EFDCD89">
            <w:pPr>
              <w:widowControl/>
              <w:rPr>
                <w:rFonts w:hint="eastAsia" w:ascii="仿宋" w:hAnsi="仿宋" w:eastAsia="仿宋" w:cs="仿宋"/>
                <w:kern w:val="0"/>
                <w:sz w:val="32"/>
                <w:szCs w:val="32"/>
              </w:rPr>
            </w:pPr>
          </w:p>
        </w:tc>
        <w:tc>
          <w:tcPr>
            <w:tcW w:w="770" w:type="pct"/>
            <w:gridSpan w:val="2"/>
            <w:vMerge w:val="continue"/>
            <w:tcBorders>
              <w:top w:val="nil"/>
              <w:left w:val="single" w:color="auto" w:sz="4" w:space="0"/>
              <w:bottom w:val="single" w:color="000000" w:sz="4" w:space="0"/>
              <w:right w:val="single" w:color="auto" w:sz="4" w:space="0"/>
            </w:tcBorders>
            <w:vAlign w:val="center"/>
          </w:tcPr>
          <w:p w14:paraId="49C2F1FC">
            <w:pPr>
              <w:widowControl/>
              <w:rPr>
                <w:rFonts w:hint="eastAsia" w:ascii="仿宋" w:hAnsi="仿宋" w:eastAsia="仿宋" w:cs="仿宋"/>
                <w:kern w:val="0"/>
                <w:sz w:val="32"/>
                <w:szCs w:val="32"/>
              </w:rPr>
            </w:pPr>
          </w:p>
        </w:tc>
        <w:tc>
          <w:tcPr>
            <w:tcW w:w="518" w:type="pct"/>
            <w:vMerge w:val="continue"/>
            <w:tcBorders>
              <w:top w:val="nil"/>
              <w:left w:val="single" w:color="auto" w:sz="4" w:space="0"/>
              <w:bottom w:val="single" w:color="000000" w:sz="4" w:space="0"/>
              <w:right w:val="single" w:color="auto" w:sz="4" w:space="0"/>
            </w:tcBorders>
            <w:vAlign w:val="center"/>
          </w:tcPr>
          <w:p w14:paraId="56CA3BFE">
            <w:pPr>
              <w:widowControl/>
              <w:rPr>
                <w:rFonts w:hint="eastAsia" w:ascii="仿宋" w:hAnsi="仿宋" w:eastAsia="仿宋" w:cs="仿宋"/>
                <w:kern w:val="0"/>
                <w:sz w:val="32"/>
                <w:szCs w:val="32"/>
              </w:rPr>
            </w:pPr>
          </w:p>
        </w:tc>
        <w:tc>
          <w:tcPr>
            <w:tcW w:w="1468" w:type="pct"/>
            <w:vMerge w:val="continue"/>
            <w:tcBorders>
              <w:top w:val="nil"/>
              <w:left w:val="single" w:color="auto" w:sz="4" w:space="0"/>
              <w:bottom w:val="single" w:color="000000" w:sz="4" w:space="0"/>
              <w:right w:val="single" w:color="auto" w:sz="4" w:space="0"/>
            </w:tcBorders>
            <w:vAlign w:val="center"/>
          </w:tcPr>
          <w:p w14:paraId="276C6B3F">
            <w:pPr>
              <w:widowControl/>
              <w:rPr>
                <w:rFonts w:hint="eastAsia" w:ascii="仿宋" w:hAnsi="仿宋" w:eastAsia="仿宋" w:cs="仿宋"/>
                <w:kern w:val="0"/>
                <w:sz w:val="32"/>
                <w:szCs w:val="32"/>
              </w:rPr>
            </w:pPr>
          </w:p>
        </w:tc>
      </w:tr>
      <w:tr w14:paraId="2DF4723D">
        <w:tblPrEx>
          <w:tblCellMar>
            <w:top w:w="0" w:type="dxa"/>
            <w:left w:w="108" w:type="dxa"/>
            <w:bottom w:w="0" w:type="dxa"/>
            <w:right w:w="108" w:type="dxa"/>
          </w:tblCellMar>
        </w:tblPrEx>
        <w:trPr>
          <w:trHeight w:val="369" w:hRule="atLeast"/>
        </w:trPr>
        <w:tc>
          <w:tcPr>
            <w:tcW w:w="5000" w:type="pct"/>
            <w:gridSpan w:val="7"/>
            <w:tcBorders>
              <w:top w:val="single" w:color="auto" w:sz="4" w:space="0"/>
              <w:left w:val="single" w:color="auto" w:sz="4" w:space="0"/>
              <w:bottom w:val="single" w:color="000000" w:sz="4" w:space="0"/>
              <w:right w:val="single" w:color="000000" w:sz="4" w:space="0"/>
            </w:tcBorders>
          </w:tcPr>
          <w:p w14:paraId="13E40730">
            <w:pPr>
              <w:widowControl/>
              <w:rPr>
                <w:rFonts w:hint="eastAsia" w:ascii="仿宋" w:hAnsi="仿宋" w:eastAsia="仿宋" w:cs="仿宋"/>
                <w:kern w:val="0"/>
                <w:sz w:val="32"/>
                <w:szCs w:val="32"/>
              </w:rPr>
            </w:pPr>
          </w:p>
        </w:tc>
      </w:tr>
      <w:tr w14:paraId="136C8238">
        <w:tblPrEx>
          <w:tblCellMar>
            <w:top w:w="0" w:type="dxa"/>
            <w:left w:w="108" w:type="dxa"/>
            <w:bottom w:w="0" w:type="dxa"/>
            <w:right w:w="108" w:type="dxa"/>
          </w:tblCellMar>
        </w:tblPrEx>
        <w:trPr>
          <w:trHeight w:val="549" w:hRule="atLeast"/>
        </w:trPr>
        <w:tc>
          <w:tcPr>
            <w:tcW w:w="465" w:type="pct"/>
            <w:tcBorders>
              <w:top w:val="nil"/>
              <w:left w:val="single" w:color="auto" w:sz="4" w:space="0"/>
              <w:bottom w:val="single" w:color="auto" w:sz="4" w:space="0"/>
              <w:right w:val="single" w:color="auto" w:sz="4" w:space="0"/>
            </w:tcBorders>
            <w:vAlign w:val="center"/>
          </w:tcPr>
          <w:p w14:paraId="15CF51AC">
            <w:pPr>
              <w:widowControl/>
              <w:rPr>
                <w:rFonts w:hint="eastAsia" w:ascii="仿宋" w:hAnsi="仿宋" w:eastAsia="仿宋" w:cs="仿宋"/>
                <w:kern w:val="0"/>
                <w:sz w:val="32"/>
                <w:szCs w:val="32"/>
              </w:rPr>
            </w:pPr>
            <w:r>
              <w:rPr>
                <w:rFonts w:hint="eastAsia" w:ascii="仿宋" w:hAnsi="仿宋" w:eastAsia="仿宋" w:cs="仿宋"/>
                <w:kern w:val="0"/>
                <w:sz w:val="32"/>
                <w:szCs w:val="32"/>
              </w:rPr>
              <w:t>样品</w:t>
            </w:r>
          </w:p>
        </w:tc>
        <w:tc>
          <w:tcPr>
            <w:tcW w:w="1138" w:type="pct"/>
            <w:tcBorders>
              <w:top w:val="nil"/>
              <w:left w:val="nil"/>
              <w:bottom w:val="single" w:color="auto" w:sz="4" w:space="0"/>
              <w:right w:val="single" w:color="auto" w:sz="4" w:space="0"/>
            </w:tcBorders>
            <w:vAlign w:val="center"/>
          </w:tcPr>
          <w:p w14:paraId="4D7D0036">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长度mm</w:t>
            </w:r>
          </w:p>
        </w:tc>
        <w:tc>
          <w:tcPr>
            <w:tcW w:w="641" w:type="pct"/>
            <w:tcBorders>
              <w:top w:val="nil"/>
              <w:left w:val="nil"/>
              <w:bottom w:val="single" w:color="auto" w:sz="4" w:space="0"/>
              <w:right w:val="single" w:color="auto" w:sz="4" w:space="0"/>
            </w:tcBorders>
            <w:vAlign w:val="center"/>
          </w:tcPr>
          <w:p w14:paraId="4F7DF175">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重量kg</w:t>
            </w:r>
          </w:p>
        </w:tc>
        <w:tc>
          <w:tcPr>
            <w:tcW w:w="770" w:type="pct"/>
            <w:gridSpan w:val="2"/>
            <w:tcBorders>
              <w:top w:val="nil"/>
              <w:left w:val="nil"/>
              <w:bottom w:val="single" w:color="auto" w:sz="4" w:space="0"/>
              <w:right w:val="single" w:color="auto" w:sz="4" w:space="0"/>
            </w:tcBorders>
            <w:vAlign w:val="center"/>
          </w:tcPr>
          <w:p w14:paraId="2DA4E72D">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平均重量kg</w:t>
            </w:r>
          </w:p>
        </w:tc>
        <w:tc>
          <w:tcPr>
            <w:tcW w:w="518" w:type="pct"/>
            <w:tcBorders>
              <w:top w:val="nil"/>
              <w:left w:val="nil"/>
              <w:bottom w:val="single" w:color="auto" w:sz="4" w:space="0"/>
              <w:right w:val="single" w:color="auto" w:sz="4" w:space="0"/>
            </w:tcBorders>
            <w:vAlign w:val="center"/>
          </w:tcPr>
          <w:p w14:paraId="2A4582BD">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壁厚mm</w:t>
            </w:r>
          </w:p>
        </w:tc>
        <w:tc>
          <w:tcPr>
            <w:tcW w:w="1468" w:type="pct"/>
            <w:tcBorders>
              <w:top w:val="nil"/>
              <w:left w:val="nil"/>
              <w:bottom w:val="single" w:color="auto" w:sz="4" w:space="0"/>
              <w:right w:val="single" w:color="auto" w:sz="4" w:space="0"/>
            </w:tcBorders>
            <w:vAlign w:val="center"/>
          </w:tcPr>
          <w:p w14:paraId="47B55AE3">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等级</w:t>
            </w:r>
          </w:p>
        </w:tc>
      </w:tr>
      <w:tr w14:paraId="77DD1842">
        <w:tblPrEx>
          <w:tblCellMar>
            <w:top w:w="0" w:type="dxa"/>
            <w:left w:w="108" w:type="dxa"/>
            <w:bottom w:w="0" w:type="dxa"/>
            <w:right w:w="108" w:type="dxa"/>
          </w:tblCellMar>
        </w:tblPrEx>
        <w:trPr>
          <w:trHeight w:val="448" w:hRule="atLeast"/>
        </w:trPr>
        <w:tc>
          <w:tcPr>
            <w:tcW w:w="465" w:type="pct"/>
            <w:tcBorders>
              <w:top w:val="nil"/>
              <w:left w:val="single" w:color="auto" w:sz="4" w:space="0"/>
              <w:bottom w:val="single" w:color="auto" w:sz="4" w:space="0"/>
              <w:right w:val="single" w:color="auto" w:sz="4" w:space="0"/>
            </w:tcBorders>
            <w:vAlign w:val="center"/>
          </w:tcPr>
          <w:p w14:paraId="44CC6A52">
            <w:pPr>
              <w:widowControl/>
              <w:rPr>
                <w:rFonts w:hint="eastAsia" w:ascii="仿宋" w:hAnsi="仿宋" w:eastAsia="仿宋" w:cs="仿宋"/>
                <w:kern w:val="0"/>
                <w:sz w:val="32"/>
                <w:szCs w:val="32"/>
              </w:rPr>
            </w:pPr>
            <w:r>
              <w:rPr>
                <w:rFonts w:hint="eastAsia" w:ascii="仿宋" w:hAnsi="仿宋" w:eastAsia="仿宋" w:cs="仿宋"/>
                <w:kern w:val="0"/>
                <w:sz w:val="32"/>
                <w:szCs w:val="32"/>
              </w:rPr>
              <w:t>1</w:t>
            </w:r>
          </w:p>
        </w:tc>
        <w:tc>
          <w:tcPr>
            <w:tcW w:w="1138" w:type="pct"/>
            <w:tcBorders>
              <w:top w:val="nil"/>
              <w:left w:val="nil"/>
              <w:bottom w:val="single" w:color="auto" w:sz="4" w:space="0"/>
              <w:right w:val="single" w:color="auto" w:sz="4" w:space="0"/>
            </w:tcBorders>
            <w:vAlign w:val="center"/>
          </w:tcPr>
          <w:p w14:paraId="7117ACAB">
            <w:pPr>
              <w:widowControl/>
              <w:rPr>
                <w:rFonts w:hint="eastAsia" w:ascii="仿宋" w:hAnsi="仿宋" w:eastAsia="仿宋" w:cs="仿宋"/>
                <w:kern w:val="0"/>
                <w:sz w:val="32"/>
                <w:szCs w:val="32"/>
              </w:rPr>
            </w:pPr>
          </w:p>
        </w:tc>
        <w:tc>
          <w:tcPr>
            <w:tcW w:w="641" w:type="pct"/>
            <w:tcBorders>
              <w:top w:val="nil"/>
              <w:left w:val="nil"/>
              <w:bottom w:val="single" w:color="auto" w:sz="4" w:space="0"/>
              <w:right w:val="single" w:color="auto" w:sz="4" w:space="0"/>
            </w:tcBorders>
            <w:vAlign w:val="center"/>
          </w:tcPr>
          <w:p w14:paraId="34481701">
            <w:pPr>
              <w:widowControl/>
              <w:rPr>
                <w:rFonts w:hint="eastAsia" w:ascii="仿宋" w:hAnsi="仿宋" w:eastAsia="仿宋" w:cs="仿宋"/>
                <w:kern w:val="0"/>
                <w:sz w:val="32"/>
                <w:szCs w:val="32"/>
              </w:rPr>
            </w:pPr>
          </w:p>
        </w:tc>
        <w:tc>
          <w:tcPr>
            <w:tcW w:w="770" w:type="pct"/>
            <w:gridSpan w:val="2"/>
            <w:tcBorders>
              <w:top w:val="nil"/>
              <w:left w:val="nil"/>
              <w:bottom w:val="single" w:color="auto" w:sz="4" w:space="0"/>
              <w:right w:val="single" w:color="auto" w:sz="4" w:space="0"/>
            </w:tcBorders>
            <w:vAlign w:val="center"/>
          </w:tcPr>
          <w:p w14:paraId="4CA75702">
            <w:pPr>
              <w:widowControl/>
              <w:rPr>
                <w:rFonts w:hint="eastAsia" w:ascii="仿宋" w:hAnsi="仿宋" w:eastAsia="仿宋" w:cs="仿宋"/>
                <w:kern w:val="0"/>
                <w:sz w:val="32"/>
                <w:szCs w:val="32"/>
              </w:rPr>
            </w:pPr>
          </w:p>
        </w:tc>
        <w:tc>
          <w:tcPr>
            <w:tcW w:w="518" w:type="pct"/>
            <w:tcBorders>
              <w:top w:val="nil"/>
              <w:left w:val="nil"/>
              <w:bottom w:val="single" w:color="auto" w:sz="4" w:space="0"/>
              <w:right w:val="single" w:color="auto" w:sz="4" w:space="0"/>
            </w:tcBorders>
            <w:vAlign w:val="center"/>
          </w:tcPr>
          <w:p w14:paraId="4AC1B2CE">
            <w:pPr>
              <w:widowControl/>
              <w:rPr>
                <w:rFonts w:hint="eastAsia" w:ascii="仿宋" w:hAnsi="仿宋" w:eastAsia="仿宋" w:cs="仿宋"/>
                <w:kern w:val="0"/>
                <w:sz w:val="32"/>
                <w:szCs w:val="32"/>
              </w:rPr>
            </w:pPr>
          </w:p>
        </w:tc>
        <w:tc>
          <w:tcPr>
            <w:tcW w:w="1468" w:type="pct"/>
            <w:tcBorders>
              <w:top w:val="nil"/>
              <w:left w:val="nil"/>
              <w:bottom w:val="single" w:color="auto" w:sz="4" w:space="0"/>
              <w:right w:val="single" w:color="auto" w:sz="4" w:space="0"/>
            </w:tcBorders>
            <w:vAlign w:val="center"/>
          </w:tcPr>
          <w:p w14:paraId="03F562D4">
            <w:pPr>
              <w:widowControl/>
              <w:rPr>
                <w:rFonts w:hint="eastAsia" w:ascii="仿宋" w:hAnsi="仿宋" w:eastAsia="仿宋" w:cs="仿宋"/>
                <w:kern w:val="0"/>
                <w:sz w:val="32"/>
                <w:szCs w:val="32"/>
              </w:rPr>
            </w:pPr>
          </w:p>
        </w:tc>
      </w:tr>
      <w:tr w14:paraId="3785B119">
        <w:tblPrEx>
          <w:tblCellMar>
            <w:top w:w="0" w:type="dxa"/>
            <w:left w:w="108" w:type="dxa"/>
            <w:bottom w:w="0" w:type="dxa"/>
            <w:right w:w="108" w:type="dxa"/>
          </w:tblCellMar>
        </w:tblPrEx>
        <w:trPr>
          <w:trHeight w:val="475" w:hRule="atLeast"/>
        </w:trPr>
        <w:tc>
          <w:tcPr>
            <w:tcW w:w="465" w:type="pct"/>
            <w:tcBorders>
              <w:top w:val="nil"/>
              <w:left w:val="single" w:color="auto" w:sz="4" w:space="0"/>
              <w:bottom w:val="single" w:color="auto" w:sz="4" w:space="0"/>
              <w:right w:val="single" w:color="auto" w:sz="4" w:space="0"/>
            </w:tcBorders>
            <w:vAlign w:val="center"/>
          </w:tcPr>
          <w:p w14:paraId="77F8937C">
            <w:pPr>
              <w:widowControl/>
              <w:rPr>
                <w:rFonts w:hint="eastAsia" w:ascii="仿宋" w:hAnsi="仿宋" w:eastAsia="仿宋" w:cs="仿宋"/>
                <w:kern w:val="0"/>
                <w:sz w:val="32"/>
                <w:szCs w:val="32"/>
              </w:rPr>
            </w:pPr>
            <w:r>
              <w:rPr>
                <w:rFonts w:hint="eastAsia" w:ascii="仿宋" w:hAnsi="仿宋" w:eastAsia="仿宋" w:cs="仿宋"/>
                <w:kern w:val="0"/>
                <w:sz w:val="32"/>
                <w:szCs w:val="32"/>
              </w:rPr>
              <w:t>2</w:t>
            </w:r>
          </w:p>
        </w:tc>
        <w:tc>
          <w:tcPr>
            <w:tcW w:w="1138" w:type="pct"/>
            <w:tcBorders>
              <w:top w:val="nil"/>
              <w:left w:val="nil"/>
              <w:bottom w:val="single" w:color="auto" w:sz="4" w:space="0"/>
              <w:right w:val="single" w:color="auto" w:sz="4" w:space="0"/>
            </w:tcBorders>
            <w:vAlign w:val="center"/>
          </w:tcPr>
          <w:p w14:paraId="163EF176">
            <w:pPr>
              <w:widowControl/>
              <w:rPr>
                <w:rFonts w:hint="eastAsia" w:ascii="仿宋" w:hAnsi="仿宋" w:eastAsia="仿宋" w:cs="仿宋"/>
                <w:kern w:val="0"/>
                <w:sz w:val="32"/>
                <w:szCs w:val="32"/>
              </w:rPr>
            </w:pPr>
          </w:p>
        </w:tc>
        <w:tc>
          <w:tcPr>
            <w:tcW w:w="641" w:type="pct"/>
            <w:tcBorders>
              <w:top w:val="nil"/>
              <w:left w:val="nil"/>
              <w:bottom w:val="single" w:color="auto" w:sz="4" w:space="0"/>
              <w:right w:val="single" w:color="auto" w:sz="4" w:space="0"/>
            </w:tcBorders>
            <w:vAlign w:val="center"/>
          </w:tcPr>
          <w:p w14:paraId="07C207A0">
            <w:pPr>
              <w:widowControl/>
              <w:rPr>
                <w:rFonts w:hint="eastAsia" w:ascii="仿宋" w:hAnsi="仿宋" w:eastAsia="仿宋" w:cs="仿宋"/>
                <w:kern w:val="0"/>
                <w:sz w:val="32"/>
                <w:szCs w:val="32"/>
              </w:rPr>
            </w:pPr>
          </w:p>
        </w:tc>
        <w:tc>
          <w:tcPr>
            <w:tcW w:w="770" w:type="pct"/>
            <w:gridSpan w:val="2"/>
            <w:tcBorders>
              <w:top w:val="nil"/>
              <w:left w:val="nil"/>
              <w:bottom w:val="single" w:color="auto" w:sz="4" w:space="0"/>
              <w:right w:val="single" w:color="auto" w:sz="4" w:space="0"/>
            </w:tcBorders>
            <w:vAlign w:val="center"/>
          </w:tcPr>
          <w:p w14:paraId="39AB2ABD">
            <w:pPr>
              <w:widowControl/>
              <w:rPr>
                <w:rFonts w:hint="eastAsia" w:ascii="仿宋" w:hAnsi="仿宋" w:eastAsia="仿宋" w:cs="仿宋"/>
                <w:kern w:val="0"/>
                <w:sz w:val="32"/>
                <w:szCs w:val="32"/>
              </w:rPr>
            </w:pPr>
          </w:p>
        </w:tc>
        <w:tc>
          <w:tcPr>
            <w:tcW w:w="518" w:type="pct"/>
            <w:tcBorders>
              <w:top w:val="nil"/>
              <w:left w:val="nil"/>
              <w:bottom w:val="single" w:color="auto" w:sz="4" w:space="0"/>
              <w:right w:val="single" w:color="auto" w:sz="4" w:space="0"/>
            </w:tcBorders>
            <w:vAlign w:val="center"/>
          </w:tcPr>
          <w:p w14:paraId="7693758A">
            <w:pPr>
              <w:widowControl/>
              <w:rPr>
                <w:rFonts w:hint="eastAsia" w:ascii="仿宋" w:hAnsi="仿宋" w:eastAsia="仿宋" w:cs="仿宋"/>
                <w:kern w:val="0"/>
                <w:sz w:val="32"/>
                <w:szCs w:val="32"/>
              </w:rPr>
            </w:pPr>
          </w:p>
        </w:tc>
        <w:tc>
          <w:tcPr>
            <w:tcW w:w="1468" w:type="pct"/>
            <w:tcBorders>
              <w:top w:val="nil"/>
              <w:left w:val="nil"/>
              <w:bottom w:val="single" w:color="auto" w:sz="4" w:space="0"/>
              <w:right w:val="single" w:color="auto" w:sz="4" w:space="0"/>
            </w:tcBorders>
            <w:vAlign w:val="center"/>
          </w:tcPr>
          <w:p w14:paraId="12112A05">
            <w:pPr>
              <w:widowControl/>
              <w:rPr>
                <w:rFonts w:hint="eastAsia" w:ascii="仿宋" w:hAnsi="仿宋" w:eastAsia="仿宋" w:cs="仿宋"/>
                <w:kern w:val="0"/>
                <w:sz w:val="32"/>
                <w:szCs w:val="32"/>
              </w:rPr>
            </w:pPr>
          </w:p>
        </w:tc>
      </w:tr>
      <w:tr w14:paraId="241F6144">
        <w:tblPrEx>
          <w:tblCellMar>
            <w:top w:w="0" w:type="dxa"/>
            <w:left w:w="108" w:type="dxa"/>
            <w:bottom w:w="0" w:type="dxa"/>
            <w:right w:w="108" w:type="dxa"/>
          </w:tblCellMar>
        </w:tblPrEx>
        <w:trPr>
          <w:trHeight w:val="840" w:hRule="atLeast"/>
        </w:trPr>
        <w:tc>
          <w:tcPr>
            <w:tcW w:w="1603" w:type="pct"/>
            <w:gridSpan w:val="2"/>
            <w:tcBorders>
              <w:top w:val="single" w:color="auto" w:sz="4" w:space="0"/>
              <w:left w:val="single" w:color="auto" w:sz="4" w:space="0"/>
              <w:bottom w:val="single" w:color="auto" w:sz="4" w:space="0"/>
              <w:right w:val="single" w:color="auto" w:sz="4" w:space="0"/>
            </w:tcBorders>
            <w:vAlign w:val="center"/>
          </w:tcPr>
          <w:p w14:paraId="1EE7D72A">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等级评定为：</w:t>
            </w:r>
          </w:p>
        </w:tc>
        <w:tc>
          <w:tcPr>
            <w:tcW w:w="1411" w:type="pct"/>
            <w:gridSpan w:val="3"/>
            <w:tcBorders>
              <w:top w:val="single" w:color="auto" w:sz="4" w:space="0"/>
              <w:left w:val="nil"/>
              <w:bottom w:val="single" w:color="auto" w:sz="4" w:space="0"/>
              <w:right w:val="single" w:color="auto" w:sz="4" w:space="0"/>
            </w:tcBorders>
            <w:vAlign w:val="center"/>
          </w:tcPr>
          <w:p w14:paraId="3F3619E2">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分色处理：</w:t>
            </w:r>
          </w:p>
        </w:tc>
        <w:tc>
          <w:tcPr>
            <w:tcW w:w="1986" w:type="pct"/>
            <w:gridSpan w:val="2"/>
            <w:tcBorders>
              <w:top w:val="single" w:color="auto" w:sz="4" w:space="0"/>
              <w:left w:val="single" w:color="auto" w:sz="4" w:space="0"/>
              <w:bottom w:val="single" w:color="auto" w:sz="4" w:space="0"/>
              <w:right w:val="single" w:color="auto" w:sz="4" w:space="0"/>
            </w:tcBorders>
            <w:vAlign w:val="center"/>
          </w:tcPr>
          <w:p w14:paraId="198BD2B6">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所用部位：</w:t>
            </w:r>
          </w:p>
        </w:tc>
      </w:tr>
      <w:tr w14:paraId="67EC5DDD">
        <w:tblPrEx>
          <w:tblCellMar>
            <w:top w:w="0" w:type="dxa"/>
            <w:left w:w="108" w:type="dxa"/>
            <w:bottom w:w="0" w:type="dxa"/>
            <w:right w:w="108" w:type="dxa"/>
          </w:tblCellMar>
        </w:tblPrEx>
        <w:trPr>
          <w:trHeight w:val="949" w:hRule="atLeast"/>
        </w:trPr>
        <w:tc>
          <w:tcPr>
            <w:tcW w:w="2433" w:type="pct"/>
            <w:gridSpan w:val="4"/>
            <w:tcBorders>
              <w:top w:val="single" w:color="auto" w:sz="4" w:space="0"/>
              <w:left w:val="single" w:color="auto" w:sz="4" w:space="0"/>
              <w:bottom w:val="single" w:color="auto" w:sz="4" w:space="0"/>
              <w:right w:val="single" w:color="auto" w:sz="4" w:space="0"/>
            </w:tcBorders>
            <w:vAlign w:val="center"/>
          </w:tcPr>
          <w:p w14:paraId="62E33CAD">
            <w:pPr>
              <w:widowControl/>
              <w:rPr>
                <w:rFonts w:hint="eastAsia" w:ascii="仿宋" w:hAnsi="仿宋" w:eastAsia="仿宋" w:cs="仿宋"/>
                <w:kern w:val="0"/>
                <w:sz w:val="32"/>
                <w:szCs w:val="32"/>
              </w:rPr>
            </w:pPr>
            <w:r>
              <w:rPr>
                <w:rFonts w:hint="eastAsia" w:ascii="仿宋" w:hAnsi="仿宋" w:eastAsia="仿宋" w:cs="仿宋"/>
                <w:kern w:val="0"/>
                <w:sz w:val="32"/>
                <w:szCs w:val="32"/>
              </w:rPr>
              <w:t>施工项目部签章：</w:t>
            </w:r>
          </w:p>
        </w:tc>
        <w:tc>
          <w:tcPr>
            <w:tcW w:w="2567" w:type="pct"/>
            <w:gridSpan w:val="3"/>
            <w:tcBorders>
              <w:top w:val="single" w:color="auto" w:sz="4" w:space="0"/>
              <w:left w:val="single" w:color="auto" w:sz="4" w:space="0"/>
              <w:bottom w:val="single" w:color="auto" w:sz="4" w:space="0"/>
              <w:right w:val="single" w:color="auto" w:sz="4" w:space="0"/>
            </w:tcBorders>
            <w:vAlign w:val="center"/>
          </w:tcPr>
          <w:p w14:paraId="429BA3EC">
            <w:pPr>
              <w:widowControl/>
              <w:rPr>
                <w:rFonts w:hint="eastAsia" w:ascii="仿宋" w:hAnsi="仿宋" w:eastAsia="仿宋" w:cs="仿宋"/>
                <w:kern w:val="0"/>
                <w:sz w:val="32"/>
                <w:szCs w:val="32"/>
              </w:rPr>
            </w:pPr>
            <w:r>
              <w:rPr>
                <w:rFonts w:hint="eastAsia" w:ascii="仿宋" w:hAnsi="仿宋" w:eastAsia="仿宋" w:cs="仿宋"/>
                <w:kern w:val="0"/>
                <w:sz w:val="32"/>
                <w:szCs w:val="32"/>
              </w:rPr>
              <w:t>监理部签章：</w:t>
            </w:r>
          </w:p>
        </w:tc>
      </w:tr>
      <w:tr w14:paraId="51A58290">
        <w:tblPrEx>
          <w:tblCellMar>
            <w:top w:w="0" w:type="dxa"/>
            <w:left w:w="108" w:type="dxa"/>
            <w:bottom w:w="0" w:type="dxa"/>
            <w:right w:w="108" w:type="dxa"/>
          </w:tblCellMar>
        </w:tblPrEx>
        <w:trPr>
          <w:trHeight w:val="1474" w:hRule="atLeast"/>
        </w:trPr>
        <w:tc>
          <w:tcPr>
            <w:tcW w:w="5000" w:type="pct"/>
            <w:gridSpan w:val="7"/>
            <w:vMerge w:val="restart"/>
            <w:tcBorders>
              <w:top w:val="nil"/>
              <w:left w:val="nil"/>
              <w:bottom w:val="nil"/>
              <w:right w:val="nil"/>
            </w:tcBorders>
            <w:vAlign w:val="center"/>
          </w:tcPr>
          <w:p w14:paraId="71D9CBE9">
            <w:pPr>
              <w:widowControl/>
              <w:ind w:firstLine="480" w:firstLineChars="200"/>
              <w:rPr>
                <w:rFonts w:hint="eastAsia" w:ascii="仿宋" w:hAnsi="仿宋" w:eastAsia="仿宋" w:cs="仿宋"/>
                <w:kern w:val="0"/>
                <w:sz w:val="24"/>
              </w:rPr>
            </w:pPr>
            <w:r>
              <w:rPr>
                <w:rFonts w:hint="eastAsia" w:ascii="仿宋" w:hAnsi="仿宋" w:eastAsia="仿宋" w:cs="仿宋"/>
                <w:kern w:val="0"/>
                <w:sz w:val="24"/>
              </w:rPr>
              <w:t>1、钢管称重小于3.07kg/m，壁厚小于2.75mm，属于四级钢管，不得进入施工现场；称重在3.07-3.33kg/m，壁厚在2.75-3.00mm之间的，属于三级钢管，不得用于承重构件；称重在3.33-3.63kg/m，壁厚在3.00-3.24mm之间的，属于二级钢管，在施工现场按实际材质使用；称重在3.63-4kg/m，壁厚在3.24-3.6mm之间的，属于一级钢管，允许在施工现场按标准材质使用。2、钢管进场验收以一车或10T为一检验批，不足10T为一检验批。</w:t>
            </w:r>
          </w:p>
          <w:p w14:paraId="4B70A7AC">
            <w:pPr>
              <w:widowControl/>
              <w:ind w:firstLine="480" w:firstLineChars="200"/>
              <w:rPr>
                <w:rFonts w:hint="eastAsia" w:ascii="仿宋" w:hAnsi="仿宋" w:eastAsia="仿宋" w:cs="仿宋"/>
                <w:kern w:val="0"/>
                <w:sz w:val="24"/>
              </w:rPr>
            </w:pPr>
            <w:r>
              <w:rPr>
                <w:rFonts w:hint="eastAsia" w:ascii="仿宋" w:hAnsi="仿宋" w:eastAsia="仿宋" w:cs="仿宋"/>
                <w:kern w:val="0"/>
                <w:sz w:val="24"/>
              </w:rPr>
              <w:t>3、每批全数进行外观检测，不合要求的清退；每批随机抽查样品10根进行壁厚抽检。</w:t>
            </w:r>
          </w:p>
          <w:p w14:paraId="3BDD5F68">
            <w:pPr>
              <w:widowControl/>
              <w:ind w:firstLine="480" w:firstLineChars="200"/>
              <w:rPr>
                <w:rFonts w:hint="eastAsia" w:ascii="仿宋" w:hAnsi="仿宋" w:eastAsia="仿宋" w:cs="仿宋"/>
                <w:kern w:val="0"/>
                <w:sz w:val="24"/>
              </w:rPr>
            </w:pPr>
            <w:r>
              <w:rPr>
                <w:rFonts w:hint="eastAsia" w:ascii="仿宋" w:hAnsi="仿宋" w:eastAsia="仿宋" w:cs="仿宋"/>
                <w:kern w:val="0"/>
                <w:sz w:val="24"/>
              </w:rPr>
              <w:t>4、每批某级钢管占80％以上时，该批判断为某级。</w:t>
            </w:r>
          </w:p>
          <w:p w14:paraId="36A1DE2A">
            <w:pPr>
              <w:widowControl/>
              <w:ind w:firstLine="480" w:firstLineChars="200"/>
              <w:rPr>
                <w:rFonts w:hint="eastAsia" w:ascii="仿宋" w:hAnsi="仿宋" w:eastAsia="仿宋" w:cs="仿宋"/>
                <w:kern w:val="0"/>
                <w:sz w:val="24"/>
              </w:rPr>
            </w:pPr>
            <w:r>
              <w:rPr>
                <w:rFonts w:hint="eastAsia" w:ascii="仿宋" w:hAnsi="仿宋" w:eastAsia="仿宋" w:cs="仿宋"/>
                <w:kern w:val="0"/>
                <w:sz w:val="24"/>
              </w:rPr>
              <w:t>5、质量证明文件包括产品质量合格证、质量检验报告。</w:t>
            </w:r>
          </w:p>
          <w:p w14:paraId="7AD4D2BC">
            <w:pPr>
              <w:widowControl/>
              <w:ind w:firstLine="480" w:firstLineChars="200"/>
              <w:rPr>
                <w:rFonts w:hint="eastAsia" w:ascii="仿宋" w:hAnsi="仿宋" w:eastAsia="仿宋" w:cs="仿宋"/>
                <w:kern w:val="0"/>
                <w:sz w:val="24"/>
              </w:rPr>
            </w:pPr>
            <w:r>
              <w:rPr>
                <w:rFonts w:hint="eastAsia" w:ascii="仿宋" w:hAnsi="仿宋" w:eastAsia="仿宋" w:cs="仿宋"/>
                <w:kern w:val="0"/>
                <w:sz w:val="24"/>
              </w:rPr>
              <w:t>6、施工项目部应由项目负责人签章，监理部应由总监理工程师签章。</w:t>
            </w:r>
          </w:p>
        </w:tc>
      </w:tr>
      <w:tr w14:paraId="5D03AFC5">
        <w:tblPrEx>
          <w:tblCellMar>
            <w:top w:w="0" w:type="dxa"/>
            <w:left w:w="108" w:type="dxa"/>
            <w:bottom w:w="0" w:type="dxa"/>
            <w:right w:w="108" w:type="dxa"/>
          </w:tblCellMar>
        </w:tblPrEx>
        <w:trPr>
          <w:trHeight w:val="769" w:hRule="atLeast"/>
        </w:trPr>
        <w:tc>
          <w:tcPr>
            <w:tcW w:w="5000" w:type="pct"/>
            <w:gridSpan w:val="7"/>
            <w:vMerge w:val="continue"/>
            <w:tcBorders>
              <w:top w:val="nil"/>
              <w:left w:val="nil"/>
              <w:bottom w:val="nil"/>
              <w:right w:val="nil"/>
            </w:tcBorders>
            <w:vAlign w:val="center"/>
          </w:tcPr>
          <w:p w14:paraId="558EA959">
            <w:pPr>
              <w:widowControl/>
              <w:rPr>
                <w:rFonts w:hint="eastAsia" w:ascii="仿宋" w:hAnsi="仿宋" w:eastAsia="仿宋" w:cs="仿宋"/>
                <w:kern w:val="0"/>
                <w:sz w:val="32"/>
                <w:szCs w:val="32"/>
              </w:rPr>
            </w:pPr>
          </w:p>
        </w:tc>
      </w:tr>
      <w:tr w14:paraId="163EFF9C">
        <w:tblPrEx>
          <w:tblCellMar>
            <w:top w:w="0" w:type="dxa"/>
            <w:left w:w="108" w:type="dxa"/>
            <w:bottom w:w="0" w:type="dxa"/>
            <w:right w:w="108" w:type="dxa"/>
          </w:tblCellMar>
        </w:tblPrEx>
        <w:trPr>
          <w:trHeight w:val="769" w:hRule="atLeast"/>
        </w:trPr>
        <w:tc>
          <w:tcPr>
            <w:tcW w:w="5000" w:type="pct"/>
            <w:gridSpan w:val="7"/>
            <w:vMerge w:val="continue"/>
            <w:tcBorders>
              <w:top w:val="nil"/>
              <w:left w:val="nil"/>
              <w:bottom w:val="nil"/>
              <w:right w:val="nil"/>
            </w:tcBorders>
            <w:vAlign w:val="center"/>
          </w:tcPr>
          <w:p w14:paraId="717AFCBE">
            <w:pPr>
              <w:widowControl/>
              <w:rPr>
                <w:rFonts w:hint="eastAsia" w:ascii="仿宋" w:hAnsi="仿宋" w:eastAsia="仿宋" w:cs="仿宋"/>
                <w:kern w:val="0"/>
                <w:sz w:val="32"/>
                <w:szCs w:val="32"/>
              </w:rPr>
            </w:pPr>
          </w:p>
        </w:tc>
      </w:tr>
      <w:tr w14:paraId="0DD0739E">
        <w:tblPrEx>
          <w:tblCellMar>
            <w:top w:w="0" w:type="dxa"/>
            <w:left w:w="108" w:type="dxa"/>
            <w:bottom w:w="0" w:type="dxa"/>
            <w:right w:w="108" w:type="dxa"/>
          </w:tblCellMar>
        </w:tblPrEx>
        <w:trPr>
          <w:trHeight w:val="769" w:hRule="atLeast"/>
        </w:trPr>
        <w:tc>
          <w:tcPr>
            <w:tcW w:w="5000" w:type="pct"/>
            <w:gridSpan w:val="7"/>
            <w:vMerge w:val="continue"/>
            <w:tcBorders>
              <w:top w:val="nil"/>
              <w:left w:val="nil"/>
              <w:bottom w:val="nil"/>
              <w:right w:val="nil"/>
            </w:tcBorders>
            <w:vAlign w:val="center"/>
          </w:tcPr>
          <w:p w14:paraId="09E0BD72">
            <w:pPr>
              <w:widowControl/>
              <w:rPr>
                <w:rFonts w:hint="eastAsia" w:ascii="仿宋" w:hAnsi="仿宋" w:eastAsia="仿宋" w:cs="仿宋"/>
                <w:kern w:val="0"/>
                <w:sz w:val="32"/>
                <w:szCs w:val="32"/>
              </w:rPr>
            </w:pPr>
          </w:p>
        </w:tc>
      </w:tr>
    </w:tbl>
    <w:p w14:paraId="10F02687">
      <w:pPr>
        <w:pStyle w:val="2"/>
        <w:spacing w:before="120" w:beforeLines="50" w:after="120" w:afterLines="50"/>
        <w:rPr>
          <w:rFonts w:hint="eastAsia" w:ascii="仿宋" w:hAnsi="仿宋" w:eastAsia="仿宋"/>
          <w:b/>
          <w:bCs w:val="0"/>
          <w:sz w:val="32"/>
          <w:szCs w:val="32"/>
        </w:rPr>
      </w:pPr>
    </w:p>
    <w:p w14:paraId="6802D05F">
      <w:pPr>
        <w:pStyle w:val="2"/>
        <w:spacing w:before="120" w:beforeLines="50" w:after="120" w:afterLines="50"/>
        <w:rPr>
          <w:rFonts w:hint="eastAsia" w:ascii="仿宋" w:hAnsi="仿宋" w:eastAsia="仿宋"/>
          <w:b/>
          <w:bCs w:val="0"/>
          <w:sz w:val="32"/>
          <w:szCs w:val="32"/>
        </w:rPr>
      </w:pPr>
      <w:r>
        <w:rPr>
          <w:rFonts w:hint="eastAsia" w:ascii="仿宋" w:hAnsi="仿宋" w:eastAsia="仿宋"/>
          <w:b/>
          <w:bCs w:val="0"/>
          <w:sz w:val="32"/>
          <w:szCs w:val="32"/>
        </w:rPr>
        <w:t>附着式升降脚手架安全监督交底（汤武）</w:t>
      </w:r>
    </w:p>
    <w:p w14:paraId="4F00C9B7">
      <w:pPr>
        <w:spacing w:line="560" w:lineRule="exact"/>
        <w:ind w:firstLine="640" w:firstLineChars="200"/>
        <w:rPr>
          <w:rFonts w:hint="eastAsia" w:ascii="黑体" w:hAnsi="黑体" w:eastAsia="黑体" w:cs="黑体"/>
          <w:kern w:val="0"/>
          <w:sz w:val="32"/>
          <w:szCs w:val="32"/>
        </w:rPr>
      </w:pPr>
      <w:r>
        <w:rPr>
          <w:rFonts w:hint="eastAsia" w:ascii="黑体" w:hAnsi="黑体" w:eastAsia="黑体" w:cs="黑体"/>
          <w:kern w:val="0"/>
          <w:sz w:val="32"/>
          <w:szCs w:val="32"/>
        </w:rPr>
        <w:t>一、主要依据</w:t>
      </w:r>
    </w:p>
    <w:p w14:paraId="6C475F53">
      <w:pPr>
        <w:pStyle w:val="38"/>
        <w:spacing w:line="560" w:lineRule="exact"/>
        <w:ind w:firstLine="640"/>
        <w:rPr>
          <w:rFonts w:hint="eastAsia" w:ascii="仿宋" w:hAnsi="仿宋" w:eastAsia="仿宋"/>
          <w:sz w:val="32"/>
          <w:szCs w:val="32"/>
        </w:rPr>
      </w:pPr>
      <w:r>
        <w:rPr>
          <w:rFonts w:hint="eastAsia" w:ascii="仿宋" w:hAnsi="仿宋" w:eastAsia="仿宋" w:cs="仿宋"/>
          <w:kern w:val="0"/>
          <w:sz w:val="32"/>
          <w:szCs w:val="32"/>
          <w:lang w:eastAsia="zh"/>
        </w:rPr>
        <w:t>《施工脚手架通用规范》（GB55023-2022）《建筑施工工具式脚手架安全技术规范》（JGJ202-2010）《建筑施工用附着式升降作业安全防护平台》（JG/T546-2019）《湖南省附着式升降脚手架安全技术标准》（DBJ43/T375-2021）《房屋市政工程生产安全重大事故隐患判定标准》（2024版）</w:t>
      </w:r>
      <w:r>
        <w:rPr>
          <w:rFonts w:hint="eastAsia" w:ascii="仿宋" w:hAnsi="仿宋" w:eastAsia="仿宋"/>
          <w:sz w:val="32"/>
          <w:szCs w:val="32"/>
        </w:rPr>
        <w:t>《危险性较大的分部分项工程安全管理规定》（住房城乡建设部令第37号）《住房城乡建设部办公厅关于实施〈危险性较大的分部分项工程安全管理规定〉有关问题的通知》（建办质〔2018〕31号）《危大工程专项施工方案编制指南》（建办质〔2021〕48号《危险性较大的分部分项工程专项施工方案严重缺陷清单（试行）》（建办质〔2024〕63号）等相关规定。</w:t>
      </w:r>
    </w:p>
    <w:p w14:paraId="0920D7EF">
      <w:pPr>
        <w:pStyle w:val="38"/>
        <w:spacing w:line="560" w:lineRule="exact"/>
        <w:ind w:left="640" w:firstLine="0" w:firstLineChars="0"/>
        <w:rPr>
          <w:rFonts w:hint="eastAsia" w:ascii="黑体" w:hAnsi="黑体" w:eastAsia="黑体" w:cs="黑体"/>
          <w:kern w:val="0"/>
          <w:sz w:val="32"/>
          <w:szCs w:val="32"/>
        </w:rPr>
      </w:pPr>
      <w:r>
        <w:rPr>
          <w:rFonts w:hint="eastAsia" w:ascii="黑体" w:hAnsi="黑体" w:eastAsia="黑体" w:cs="黑体"/>
          <w:kern w:val="0"/>
          <w:sz w:val="32"/>
          <w:szCs w:val="32"/>
        </w:rPr>
        <w:t>二、管控重点</w:t>
      </w:r>
    </w:p>
    <w:p w14:paraId="4C08AB23">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（一）前期管控</w:t>
      </w:r>
    </w:p>
    <w:p w14:paraId="039A4A37">
      <w:pPr>
        <w:pStyle w:val="38"/>
        <w:numPr>
          <w:ilvl w:val="0"/>
          <w:numId w:val="8"/>
        </w:numPr>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附着升降脚手架必须经过国务院建设行政主管部门组织鉴定或者委托具有资格的单位进行认证，应由具备相应资质等级的施工单位进行施工，安装人员须持建设行政主管部门颁发的资格证上岗，并签订专业承包合同，明确总包、分包或租赁等各方的安全生产责任。</w:t>
      </w:r>
    </w:p>
    <w:p w14:paraId="511DD40E">
      <w:pPr>
        <w:pStyle w:val="38"/>
        <w:numPr>
          <w:ilvl w:val="0"/>
          <w:numId w:val="8"/>
        </w:numPr>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附着式升降脚手架属于危大工程，需办理开工安全生产条件审查手续后方可安装。施工前，应根据工程情况编制专项施工方案，专项施工方案中应有工程特点、平面布置图、架体结构图、安全措施、特殊部位的加固措施、工程结构受力核算、安装升降拆除程序及措施、使用规定等。</w:t>
      </w:r>
    </w:p>
    <w:p w14:paraId="005D0025">
      <w:pPr>
        <w:pStyle w:val="38"/>
        <w:numPr>
          <w:ilvl w:val="0"/>
          <w:numId w:val="8"/>
        </w:numPr>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专项施工方案应先经专业分包单位技术负责人审核，再交由总承包单位技术负责人审批，报项目总监理工程师审核后实施。附着式脚手架提升高度超过150米必须按要求组织专家对专项施工方案进行论证。</w:t>
      </w:r>
    </w:p>
    <w:p w14:paraId="0ADB43DE">
      <w:pPr>
        <w:pStyle w:val="38"/>
        <w:numPr>
          <w:ilvl w:val="0"/>
          <w:numId w:val="8"/>
        </w:numPr>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附着支撑机构不应设置在阳台等悬挑结构上，否则应进行专门计算，并纳入专家论证内容，方案报原结构设计单位签字认可。附着升降脚手架安装完成需经有资质的检测单位检验合格后，施工、监理、安装、产权单位要组织有关技术人员进行验收方可使用。附着升降脚手架每次升降前后，必须组织自查自验，经项目部、监理部等各方联合验收合格签章认可后才能进行升降工作。</w:t>
      </w:r>
    </w:p>
    <w:p w14:paraId="18C74683">
      <w:pPr>
        <w:widowControl/>
        <w:tabs>
          <w:tab w:val="left" w:pos="280"/>
        </w:tabs>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（二）过程管控</w:t>
      </w:r>
    </w:p>
    <w:p w14:paraId="2FE8CD8C">
      <w:pPr>
        <w:pStyle w:val="38"/>
        <w:widowControl/>
        <w:numPr>
          <w:ilvl w:val="0"/>
          <w:numId w:val="9"/>
        </w:numPr>
        <w:tabs>
          <w:tab w:val="left" w:pos="280"/>
        </w:tabs>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架体构造：架体高度不得大于5倍楼层高；架体宽度不得大于1.2米；直线布置的架体支撑跨度不得大于7米；折线或曲线布置的架体，相邻两主框架支撑点处的架体外侧距离不得大于5.4米；架体的水平悬挑长度不得大于2米，且不得大于跨度的1/2；架体全高与支撑跨度的乘积不应大于110m</w:t>
      </w:r>
      <w:r>
        <w:rPr>
          <w:rFonts w:ascii="Calibri" w:hAnsi="Calibri" w:eastAsia="仿宋" w:cs="Calibri"/>
          <w:kern w:val="0"/>
          <w:sz w:val="32"/>
          <w:szCs w:val="32"/>
        </w:rPr>
        <w:t>²</w:t>
      </w:r>
      <w:r>
        <w:rPr>
          <w:rFonts w:hint="eastAsia" w:ascii="仿宋" w:hAnsi="仿宋" w:eastAsia="仿宋" w:cs="仿宋_GB2312"/>
          <w:kern w:val="0"/>
          <w:sz w:val="32"/>
          <w:szCs w:val="32"/>
        </w:rPr>
        <w:t>；架体外立面必须沿全高设置剪刀撑；悬挑端宜以竖向主框架为中心成对设置对称斜拉杆。</w:t>
      </w:r>
    </w:p>
    <w:p w14:paraId="112246C5">
      <w:pPr>
        <w:pStyle w:val="38"/>
        <w:widowControl/>
        <w:numPr>
          <w:ilvl w:val="0"/>
          <w:numId w:val="9"/>
        </w:numPr>
        <w:tabs>
          <w:tab w:val="left" w:pos="280"/>
        </w:tabs>
        <w:spacing w:line="560" w:lineRule="exact"/>
        <w:ind w:firstLine="640"/>
        <w:rPr>
          <w:rFonts w:hint="eastAsia" w:ascii="仿宋" w:hAnsi="仿宋" w:eastAsia="仿宋" w:cs="仿宋"/>
          <w:kern w:val="0"/>
          <w:sz w:val="32"/>
          <w:szCs w:val="32"/>
          <w:lang w:eastAsia="zh"/>
        </w:rPr>
      </w:pPr>
      <w:r>
        <w:rPr>
          <w:rFonts w:hint="eastAsia" w:ascii="仿宋" w:hAnsi="仿宋" w:eastAsia="仿宋" w:cs="仿宋"/>
          <w:kern w:val="0"/>
          <w:sz w:val="32"/>
          <w:szCs w:val="32"/>
          <w:lang w:eastAsia="zh"/>
        </w:rPr>
        <w:t>附着式升降脚手架在首层安装前应设置安装平台，由施工总承包单位组织专业分包单位、监理单位对安装平台的搭设进行验收，安装平台承载面水平误差应小于15mm，应设置有防滑、抗倾覆和安全防护等措施，安装平台的承载力应满足架体搭设要求且不小于6kN/m</w:t>
      </w:r>
      <w:r>
        <w:rPr>
          <w:rFonts w:ascii="Calibri" w:hAnsi="Calibri" w:eastAsia="仿宋" w:cs="Calibri"/>
          <w:kern w:val="0"/>
          <w:sz w:val="32"/>
          <w:szCs w:val="32"/>
          <w:lang w:eastAsia="zh"/>
        </w:rPr>
        <w:t>²</w:t>
      </w:r>
      <w:r>
        <w:rPr>
          <w:rFonts w:hint="eastAsia" w:ascii="仿宋" w:hAnsi="仿宋" w:eastAsia="仿宋" w:cs="仿宋_GB2312"/>
          <w:kern w:val="0"/>
          <w:sz w:val="32"/>
          <w:szCs w:val="32"/>
          <w:lang w:eastAsia="zh"/>
        </w:rPr>
        <w:t>，构造应满足架体搭设作业要求。</w:t>
      </w:r>
    </w:p>
    <w:p w14:paraId="6B01B9A9">
      <w:pPr>
        <w:pStyle w:val="38"/>
        <w:widowControl/>
        <w:numPr>
          <w:ilvl w:val="0"/>
          <w:numId w:val="9"/>
        </w:numPr>
        <w:tabs>
          <w:tab w:val="left" w:pos="280"/>
        </w:tabs>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竖向主框架：竖向主框架应是桁架或刚架结构，可采用整体或分段结构，应与水平支承桁架和架体构架形成有足够强度和支撑刚度的空间几何不可变体系的稳定结构；竖向主框架各杆件轴线应汇交于节点处，并应采用螺栓或焊接连接，如不能交汇于一点，应进行附加弯矩验算；内外立杆间应采用Z形撑或三角撑或其他可靠方式加强连接；对接处的连接构件应采用等强度连接。相邻竖向主框架的底部高差不应大于20mm，竖向主框架和防倾导向装置的垂直偏差不应大于5%,且不得大于60mm;未安装防倾导向装置前，竖向主框架应与工程结构有可靠临时固接措施。</w:t>
      </w:r>
    </w:p>
    <w:p w14:paraId="3C3C7288">
      <w:pPr>
        <w:pStyle w:val="38"/>
        <w:widowControl/>
        <w:numPr>
          <w:ilvl w:val="0"/>
          <w:numId w:val="9"/>
        </w:numPr>
        <w:tabs>
          <w:tab w:val="left" w:pos="280"/>
        </w:tabs>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水平支承桁架：水平支承桁架应连续设置，且与竖向主框架及构架立杆应采用螺栓连接，在架体转角处应连接成整体；特殊部位无法连续设置时，应采取不低于水平支承结构强度和刚度的加强措施；水平支承桁架的各杆件的轴线应交汇于一点，架构件如采用节点板构造连接的，其节点板厚度不得小于6mm;水平支承桁架采用片式结构时，其高度不得小于600mm;水平支承桁架宜设置在架体最底层，采用内、外两侧对称连续布置。桁架上下弦应采用整根通长杆件或设置刚性接头。各节点应采用焊接或螺栓连接。</w:t>
      </w:r>
    </w:p>
    <w:p w14:paraId="76029D73">
      <w:pPr>
        <w:pStyle w:val="38"/>
        <w:widowControl/>
        <w:numPr>
          <w:ilvl w:val="0"/>
          <w:numId w:val="9"/>
        </w:numPr>
        <w:spacing w:line="560" w:lineRule="exact"/>
        <w:ind w:firstLine="600"/>
        <w:rPr>
          <w:rFonts w:hint="eastAsia" w:ascii="仿宋" w:hAnsi="仿宋" w:eastAsia="仿宋" w:cs="仿宋"/>
          <w:spacing w:val="-10"/>
          <w:kern w:val="0"/>
          <w:sz w:val="32"/>
          <w:szCs w:val="32"/>
        </w:rPr>
      </w:pPr>
      <w:r>
        <w:rPr>
          <w:rFonts w:hint="eastAsia" w:ascii="仿宋" w:hAnsi="仿宋" w:eastAsia="仿宋" w:cs="仿宋"/>
          <w:spacing w:val="-10"/>
          <w:kern w:val="0"/>
          <w:sz w:val="32"/>
          <w:szCs w:val="32"/>
          <w:lang w:eastAsia="zh"/>
        </w:rPr>
        <w:t>附着支承装置：附着支承结构应包括附墙支座、悬臂梁及斜拉杆，竖向主框架所覆盖的每个楼层处应设置一道附墙支座；在使用工况时，应将竖向主框架固定于附墙支座上；在升降工况时，附墙支座上应设有防倾、导向的结构装置；附墙支座应采用锚固螺栓与建筑物连接，受拉螺栓不得少于两个或应采用弹簧垫圈加单螺母，螺杆露出螺母端部的长度不应少于3扣，并不得小于10mm，垫板尺寸应由设计确定，且不得小于100×100×10mm；提升时，附着支承结构锚固处构件的混凝土强度应按设计要求确定，且不得低于C15，升降支座处混凝土强度等级不得低于C20。附着支承结构的预留穿墙螺栓孔应垂直于建筑结构外表面，预留螺栓孔中心误差应小于15mm，竖向主框架所覆盖的每个楼层，应及时安装附着支承装置。在建楼层不具备附着支承装置安装条件的，应设置防止架体倾覆的刚性拉结措施。停层装置与附着支座应可靠连接。</w:t>
      </w:r>
    </w:p>
    <w:p w14:paraId="5D5F4102">
      <w:pPr>
        <w:pStyle w:val="38"/>
        <w:widowControl/>
        <w:numPr>
          <w:ilvl w:val="0"/>
          <w:numId w:val="9"/>
        </w:numPr>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附着升降手架必须具有防倾覆、防坠落和同步升降控制的安全装置。防倾覆装置中应包括导轨和两个以上与导轨连接的可滑动的导向件，每道附着支承结构上的防倾导向构件不少于2个，且应左右对称布置。在升降工况下，最上和最下部位的防倾导向构件之间的最小间距不应小于2.8m或架体高度的1/4；在使用工况下，最上和最下部位的防倾导向构件之间的最小间距不应小于5.6m或架体高度的1/2。防坠落装置应设置在竖向主框架处并附着在建筑结构上，每一升降点不得少于一个防坠落装置，防坠楼装置在使用和升降工况下都必须起作用；防坠落装置必须采用机械式的全自动装置，严禁使用每次升降都需重组的手动装置；防坠落装置技术性能除应满足承载能力要求外，还应符合规范的制动距离要求；防坠落装置应具有防尘、防污染的措施，并应灵敏可靠和运转自如；防坠楼装置与升降设备必须分别独立固定在建筑结构上；钢吊杆式防坠落装置，钢吊杆规格应由计算确定，且不得小于25mm。</w:t>
      </w:r>
    </w:p>
    <w:p w14:paraId="2A4DC9DC">
      <w:pPr>
        <w:pStyle w:val="38"/>
        <w:numPr>
          <w:ilvl w:val="0"/>
          <w:numId w:val="9"/>
        </w:numPr>
        <w:spacing w:line="560" w:lineRule="exact"/>
        <w:ind w:firstLine="640"/>
        <w:rPr>
          <w:rFonts w:hint="eastAsia" w:ascii="仿宋" w:hAnsi="仿宋" w:eastAsia="仿宋"/>
          <w:sz w:val="32"/>
          <w:szCs w:val="32"/>
        </w:rPr>
      </w:pPr>
      <w:r>
        <w:rPr>
          <w:rFonts w:hint="eastAsia" w:ascii="仿宋" w:hAnsi="仿宋" w:eastAsia="仿宋"/>
          <w:sz w:val="32"/>
          <w:szCs w:val="32"/>
        </w:rPr>
        <w:t>升降机构：升降支座应与建筑结构采用穿墙螺栓稳固连接，吊点与架体应连接可靠；按照设计方案选用配套的电动葫芦或其他提升设备，并与上、下吊点分别进行可靠连接。</w:t>
      </w:r>
    </w:p>
    <w:p w14:paraId="0545D87D">
      <w:pPr>
        <w:pStyle w:val="38"/>
        <w:numPr>
          <w:ilvl w:val="0"/>
          <w:numId w:val="9"/>
        </w:numPr>
        <w:spacing w:line="560" w:lineRule="exact"/>
        <w:ind w:firstLine="640"/>
        <w:rPr>
          <w:rFonts w:hint="eastAsia" w:ascii="仿宋" w:hAnsi="仿宋" w:eastAsia="仿宋"/>
          <w:b/>
          <w:bCs/>
          <w:sz w:val="32"/>
          <w:szCs w:val="32"/>
        </w:rPr>
      </w:pPr>
      <w:r>
        <w:rPr>
          <w:rFonts w:hint="eastAsia" w:ascii="仿宋" w:hAnsi="仿宋" w:eastAsia="仿宋"/>
          <w:sz w:val="32"/>
          <w:szCs w:val="32"/>
        </w:rPr>
        <w:t>同步控制装置：架体升降时应配置限制荷载或限制水平高差的同步控制系统。当只有两个机位同时升降时，可采用两机位间限制水平高差的同步控制系统；当多机位同时提升时，应采用荷载限制控制系统对架体进行超欠载进行控制。电缆线应采用穿管保护，并固定在防护网和外排立杆上，沿架体周长布置；电源、电缆及控制柜的线路接头不得裸露，配电设置应符合JGJ46的规定。</w:t>
      </w:r>
    </w:p>
    <w:p w14:paraId="638EE589">
      <w:pPr>
        <w:pStyle w:val="38"/>
        <w:numPr>
          <w:ilvl w:val="0"/>
          <w:numId w:val="9"/>
        </w:numPr>
        <w:spacing w:line="560" w:lineRule="exact"/>
        <w:ind w:firstLine="640"/>
        <w:rPr>
          <w:rFonts w:hint="eastAsia" w:ascii="仿宋" w:hAnsi="仿宋" w:eastAsia="仿宋"/>
          <w:sz w:val="32"/>
          <w:szCs w:val="32"/>
        </w:rPr>
      </w:pPr>
      <w:r>
        <w:rPr>
          <w:rFonts w:hint="eastAsia" w:ascii="仿宋" w:hAnsi="仿宋" w:eastAsia="仿宋"/>
          <w:sz w:val="32"/>
          <w:szCs w:val="32"/>
        </w:rPr>
        <w:t>走道板与架体构架采用螺栓连接，提供人员通行的通道，走道板应具有足够的强度、刚度和防滑功能，且不得有裂纹、开焊、硬弯等缺陷，板面挠曲不得大于12mm，任一角翘起不得大于5mm；走道板如采用金属钢板网，其网孔内切圆直径应小于25mm走道板对接时，连接处应设置加强板。走道板对接安装时，纵向、横向边框处应连接可靠；首层走道板安装成型后，应与下部安装平台进行临时连接，走道板对接处的连接螺栓不应少于2根。</w:t>
      </w:r>
    </w:p>
    <w:p w14:paraId="7C08A676">
      <w:pPr>
        <w:pStyle w:val="38"/>
        <w:numPr>
          <w:ilvl w:val="0"/>
          <w:numId w:val="9"/>
        </w:numPr>
        <w:spacing w:line="560" w:lineRule="exact"/>
        <w:ind w:firstLine="640"/>
        <w:rPr>
          <w:rFonts w:hint="eastAsia" w:ascii="仿宋" w:hAnsi="仿宋" w:eastAsia="仿宋"/>
          <w:sz w:val="32"/>
          <w:szCs w:val="32"/>
        </w:rPr>
      </w:pPr>
      <w:r>
        <w:rPr>
          <w:rFonts w:hint="eastAsia" w:ascii="仿宋" w:hAnsi="仿宋" w:eastAsia="仿宋"/>
          <w:sz w:val="32"/>
          <w:szCs w:val="32"/>
        </w:rPr>
        <w:t>作业层上的施工荷载应符合设计要求，不得超载，不得将模板支架、缆风绳、卸料平台、泵送混泥土和砂浆的输送管道等固定在脚手架上；严禁悬挂起重设备，不得在脚手架上堆放物料或机械设备，附着脚手架施工区域应有防雷措施。</w:t>
      </w:r>
    </w:p>
    <w:p w14:paraId="72E6FA12">
      <w:pPr>
        <w:pStyle w:val="38"/>
        <w:numPr>
          <w:ilvl w:val="0"/>
          <w:numId w:val="10"/>
        </w:numPr>
        <w:spacing w:line="560" w:lineRule="exact"/>
        <w:ind w:firstLineChars="0"/>
        <w:rPr>
          <w:rFonts w:hint="eastAsia" w:ascii="黑体" w:hAnsi="黑体" w:eastAsia="黑体" w:cs="黑体"/>
          <w:sz w:val="32"/>
          <w:szCs w:val="32"/>
        </w:rPr>
      </w:pPr>
      <w:r>
        <w:rPr>
          <w:rFonts w:hint="eastAsia" w:ascii="黑体" w:hAnsi="黑体" w:eastAsia="黑体" w:cs="黑体"/>
          <w:sz w:val="32"/>
          <w:szCs w:val="32"/>
        </w:rPr>
        <w:t>常见问题</w:t>
      </w:r>
    </w:p>
    <w:p w14:paraId="22147276">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专项方案审核审批程序不规范，交底记录缺失、内容无针对性，未向作业人员明确工艺要点及安全注意事项。</w:t>
      </w:r>
    </w:p>
    <w:p w14:paraId="0577DE54">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架体构配件无产品合格证、型式检验报告（报告超5年有效期），或未提供构配件材质证明文件。</w:t>
      </w:r>
    </w:p>
    <w:p w14:paraId="6298FE9A">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立杆未成对布设，接长方式不规范；竖向主框架缺失加强撑，导轨锈蚀变形、未覆盖至顶层脚手板，横杆焊接质量不达标。</w:t>
      </w:r>
    </w:p>
    <w:p w14:paraId="226C3BBB">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立杆纵距大于2.5m，转角处相邻竖向主框架支承点距离大于5.4m；水平悬挑长度大于2m或大于邻近跨度1/2。水平支承桁架高度小于600mm，架体内外侧未连续设置；杆件轴线未交汇，受力不均导致架体刚度不足。</w:t>
      </w:r>
    </w:p>
    <w:p w14:paraId="2D3C29FC">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脚手板锈蚀、镂空或采用无防滑功能的走道板，走道板连接不规范，对接处未设置加强板，变形严重；架体顶部防护高度小于1.5m，悬臂高度大于6m时未设置刚性连接措施。</w:t>
      </w:r>
    </w:p>
    <w:p w14:paraId="78237319">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附着支座变形、采用钢丝绳卸荷；附着螺栓仅设置一根，且未设置双螺母防松，螺栓强度及长度不满足规范要求。未按要求设置防坠装置，或防坠摆块锈蚀、破损、与检验报告型号不符；防坠装置未定期保养，承载力失效。防倾导轮单侧数量小于2个，导轮与导轨间隙大于5mm；导轮座变形、与附着支座连接螺栓过短或强度不足。</w:t>
      </w:r>
    </w:p>
    <w:p w14:paraId="03037C06">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吊点桁架变形，升降支座改装或损坏；吊钩未设置防脱装置，提升钢丝绳绳夹设置错误、未张紧。升降作业无专人指挥，未划定警戒区域；升降时架体上堆放物料、有人员作业，超载提升导致架体失稳。</w:t>
      </w:r>
    </w:p>
    <w:p w14:paraId="37B9A20F">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防护网拼接缝隙大，连接件无防脱措施；架体与建筑结构间隙大于150mm，未增设内挑板封闭；翻板铺设不严密，存在坠物风险。架体开洞口高度大于2个楼层，下部楼层临边未设置1.2m高防护栏杆；物料平台与架体直接连接，未独立设置受力体系。</w:t>
      </w:r>
    </w:p>
    <w:p w14:paraId="678AF5E9">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电缆线随意拉设，未按临时用电规范布置，存在触电隐患；附着支座处建筑结构钢筋被破坏，未采取补强措施。</w:t>
      </w:r>
    </w:p>
    <w:p w14:paraId="5908E208">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架体安装、升降前后未按程序验收，验收记录无量化内容、参与人员签字不规范；未提供第三方检验报告或整改记录，未经验收即投入使用。</w:t>
      </w:r>
    </w:p>
    <w:p w14:paraId="44D42672">
      <w:pPr>
        <w:pStyle w:val="38"/>
        <w:numPr>
          <w:ilvl w:val="0"/>
          <w:numId w:val="11"/>
        </w:numPr>
        <w:spacing w:line="560" w:lineRule="exact"/>
        <w:ind w:firstLine="640"/>
        <w:rPr>
          <w:rFonts w:ascii="仿宋_GB2312" w:eastAsia="仿宋_GB2312"/>
          <w:sz w:val="32"/>
          <w:szCs w:val="32"/>
        </w:rPr>
        <w:sectPr>
          <w:headerReference r:id="rId4" w:type="default"/>
          <w:pgSz w:w="11906" w:h="16838"/>
          <w:pgMar w:top="2041" w:right="1474" w:bottom="2041" w:left="1588" w:header="680" w:footer="680" w:gutter="0"/>
          <w:cols w:space="720" w:num="1"/>
          <w:docGrid w:linePitch="312" w:charSpace="0"/>
        </w:sectPr>
      </w:pPr>
      <w:r>
        <w:rPr>
          <w:rFonts w:hint="eastAsia" w:ascii="仿宋" w:hAnsi="仿宋" w:eastAsia="仿宋"/>
          <w:sz w:val="32"/>
          <w:szCs w:val="32"/>
        </w:rPr>
        <w:t>脚手板超堆载模板、杂物，荷载超限；导轨、立杆、螺栓等构配件未定期保养，锈蚀、变形未及时更换。</w:t>
      </w:r>
    </w:p>
    <w:p w14:paraId="19D3BF94">
      <w:pPr>
        <w:pStyle w:val="2"/>
        <w:spacing w:before="120" w:beforeLines="50" w:after="120" w:afterLines="50"/>
        <w:rPr>
          <w:rFonts w:hint="eastAsia"/>
        </w:rPr>
      </w:pPr>
      <w:r>
        <w:rPr>
          <w:rFonts w:hint="eastAsia"/>
        </w:rPr>
        <w:t>建筑起重机械安全监督交底（章鹏）</w:t>
      </w:r>
    </w:p>
    <w:p w14:paraId="6B695446">
      <w:pPr>
        <w:spacing w:line="560" w:lineRule="exact"/>
        <w:ind w:firstLine="643" w:firstLineChars="200"/>
        <w:rPr>
          <w:rFonts w:hint="eastAsia" w:ascii="仿宋" w:hAnsi="仿宋" w:eastAsia="仿宋" w:cs="仿宋"/>
          <w:b/>
          <w:bCs/>
          <w:sz w:val="32"/>
          <w:szCs w:val="32"/>
        </w:rPr>
      </w:pPr>
      <w:r>
        <w:rPr>
          <w:rFonts w:hint="eastAsia" w:ascii="仿宋" w:hAnsi="仿宋" w:eastAsia="仿宋"/>
          <w:b/>
          <w:bCs/>
          <w:sz w:val="32"/>
          <w:szCs w:val="32"/>
        </w:rPr>
        <w:t>一、主要依据</w:t>
      </w:r>
    </w:p>
    <w:p w14:paraId="42D2F485">
      <w:pPr>
        <w:spacing w:line="560" w:lineRule="exact"/>
        <w:ind w:firstLine="640" w:firstLineChars="200"/>
        <w:rPr>
          <w:rFonts w:ascii="仿宋_GB2312" w:eastAsia="仿宋_GB2312"/>
          <w:sz w:val="32"/>
          <w:szCs w:val="32"/>
        </w:rPr>
      </w:pPr>
      <w:r>
        <w:rPr>
          <w:rFonts w:ascii="仿宋_GB2312" w:eastAsia="仿宋_GB2312"/>
          <w:sz w:val="32"/>
          <w:szCs w:val="32"/>
        </w:rPr>
        <w:t>《建筑起重机械安全监督管理规定》（建设部令第166号）</w:t>
      </w:r>
      <w:r>
        <w:rPr>
          <w:rFonts w:hint="eastAsia" w:ascii="仿宋_GB2312" w:eastAsia="仿宋_GB2312"/>
          <w:sz w:val="32"/>
          <w:szCs w:val="32"/>
        </w:rPr>
        <w:t>《湖南省建筑起重机械安全生产管理办法》（湘建建〔2021〕208号）《建筑施工安全检查标准》（JGJ59-2011）</w:t>
      </w:r>
      <w:r>
        <w:rPr>
          <w:rFonts w:hint="eastAsia" w:ascii="仿宋_GB2312" w:hAnsi="仿宋_GB2312" w:eastAsia="仿宋_GB2312" w:cs="仿宋_GB2312"/>
          <w:sz w:val="32"/>
          <w:szCs w:val="32"/>
        </w:rPr>
        <w:t>《塔式起重机混凝土基础工程技术规程》（JGJ/T187-2019）</w:t>
      </w:r>
      <w:r>
        <w:rPr>
          <w:rFonts w:hint="eastAsia" w:ascii="仿宋_GB2312" w:eastAsia="仿宋_GB2312"/>
          <w:sz w:val="32"/>
          <w:szCs w:val="32"/>
        </w:rPr>
        <w:t>《建筑施工塔式起重机安装、使用、拆卸安全技术规程》（JGJ196-2010）《建筑施工升降机安装、使用、拆卸安全技术规程》（JGJ215-2010）《施工升降机安全规程》（GB10055-2007）《龙门架及井架物料提升机安全技术规范》（JGJ88-2010）《房屋建筑和市政基础设施工程危及生产安全施工工艺、设备和材料淘汰目录（第一批）〉的公告》《房屋市政工程生产安全重大事故隐患判定标准》（2024版）《危险性较大的分部分项工程安全管理规定》（住房城乡建设部令第37号、建办质〔2018〕31号）《危大工程专项施工方案编制指南》（建办质〔2024〕63号）《湖南省住房和城乡建设厅关于加强房屋市政工程开工安全生产条件审查的通知》(湘建建〔2024〕124 号)</w:t>
      </w:r>
      <w:r>
        <w:rPr>
          <w:rFonts w:hint="eastAsia" w:ascii="仿宋_GB2312" w:eastAsia="仿宋_GB2312"/>
          <w:color w:val="EE0000"/>
          <w:sz w:val="32"/>
          <w:szCs w:val="32"/>
        </w:rPr>
        <w:t>《全省房屋市政工程建筑起重机械生产安全专项治理行动实施方案》（湘建建函〔2025〕22号）</w:t>
      </w:r>
      <w:r>
        <w:rPr>
          <w:rFonts w:hint="eastAsia" w:ascii="仿宋_GB2312" w:eastAsia="仿宋_GB2312"/>
          <w:sz w:val="32"/>
          <w:szCs w:val="32"/>
        </w:rPr>
        <w:t>等相关规定。</w:t>
      </w:r>
    </w:p>
    <w:p w14:paraId="31FB6C28">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二、管控重点</w:t>
      </w:r>
    </w:p>
    <w:p w14:paraId="15710C35">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（一）相关程序</w:t>
      </w:r>
    </w:p>
    <w:p w14:paraId="2CEE0048">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1.建筑起重机械的监管程序包括三个环节：安装/拆卸开工安全生产条件审查、办理使用登记、拆除注销。安装、加节、附墙、拆卸作业前，应提前2个工作日告知监督机构。</w:t>
      </w:r>
    </w:p>
    <w:p w14:paraId="418D9862">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2.建筑起重机械在安装前，必须完成产权备案并通过开工安全生产条件审查，方可进行安装作业。</w:t>
      </w:r>
    </w:p>
    <w:p w14:paraId="701BB35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3.建筑起重机械经检测合格并完成联合验收后，应在30日内办理使用登记手续。</w:t>
      </w:r>
    </w:p>
    <w:p w14:paraId="71BC7608">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4.每台设备应独立建立使用管理资料档案，实行“一机一档”管理。</w:t>
      </w:r>
    </w:p>
    <w:p w14:paraId="6609184D">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5.拆除完成后，应在7个工作日内办理使用登记注销手续。</w:t>
      </w:r>
    </w:p>
    <w:p w14:paraId="05F62482">
      <w:pPr>
        <w:spacing w:line="560" w:lineRule="exact"/>
        <w:ind w:firstLine="643" w:firstLineChars="200"/>
        <w:rPr>
          <w:rFonts w:hint="eastAsia" w:ascii="仿宋" w:hAnsi="仿宋" w:eastAsia="仿宋" w:cs="仿宋"/>
          <w:b/>
          <w:bCs/>
          <w:sz w:val="32"/>
          <w:szCs w:val="32"/>
          <w:lang w:eastAsia="zh"/>
        </w:rPr>
      </w:pPr>
      <w:r>
        <w:rPr>
          <w:rFonts w:hint="eastAsia" w:ascii="仿宋" w:hAnsi="仿宋" w:eastAsia="仿宋" w:cs="仿宋"/>
          <w:b/>
          <w:bCs/>
          <w:sz w:val="32"/>
          <w:szCs w:val="32"/>
        </w:rPr>
        <w:t>（二）基本规定</w:t>
      </w:r>
    </w:p>
    <w:p w14:paraId="4EE33D3B">
      <w:pPr>
        <w:spacing w:line="560" w:lineRule="exact"/>
        <w:ind w:firstLine="643" w:firstLineChars="200"/>
        <w:rPr>
          <w:rFonts w:hint="eastAsia" w:ascii="仿宋" w:hAnsi="仿宋" w:eastAsia="仿宋" w:cs="仿宋"/>
          <w:b/>
          <w:sz w:val="32"/>
          <w:szCs w:val="32"/>
        </w:rPr>
      </w:pPr>
      <w:r>
        <w:rPr>
          <w:rFonts w:hint="eastAsia" w:ascii="仿宋" w:hAnsi="仿宋" w:eastAsia="仿宋" w:cs="仿宋"/>
          <w:b/>
          <w:sz w:val="32"/>
          <w:szCs w:val="32"/>
        </w:rPr>
        <w:t>租赁单位：</w:t>
      </w:r>
    </w:p>
    <w:p w14:paraId="7EB0EE80">
      <w:pPr>
        <w:spacing w:line="560" w:lineRule="exact"/>
        <w:ind w:firstLine="640" w:firstLineChars="200"/>
        <w:rPr>
          <w:rFonts w:hint="eastAsia" w:ascii="仿宋_GB2312" w:hAnsi="仿宋" w:eastAsia="仿宋_GB2312" w:cs="仿宋"/>
          <w:bCs/>
          <w:sz w:val="32"/>
          <w:szCs w:val="32"/>
        </w:rPr>
      </w:pPr>
      <w:r>
        <w:rPr>
          <w:rFonts w:hint="eastAsia" w:ascii="仿宋_GB2312" w:hAnsi="仿宋" w:eastAsia="仿宋_GB2312" w:cs="仿宋"/>
          <w:bCs/>
          <w:sz w:val="32"/>
          <w:szCs w:val="32"/>
        </w:rPr>
        <w:t>1.租赁单位须具备相应资质，所出租设备应通过备案审查并取得备案证。</w:t>
      </w:r>
    </w:p>
    <w:p w14:paraId="64BA9E2E">
      <w:pPr>
        <w:spacing w:line="560" w:lineRule="exact"/>
        <w:ind w:firstLine="640" w:firstLineChars="200"/>
        <w:rPr>
          <w:rFonts w:hint="eastAsia" w:ascii="仿宋_GB2312" w:hAnsi="仿宋" w:eastAsia="仿宋_GB2312" w:cs="仿宋"/>
          <w:bCs/>
          <w:sz w:val="32"/>
          <w:szCs w:val="32"/>
        </w:rPr>
      </w:pPr>
      <w:r>
        <w:rPr>
          <w:rFonts w:hint="eastAsia" w:ascii="仿宋_GB2312" w:hAnsi="仿宋" w:eastAsia="仿宋_GB2312" w:cs="仿宋"/>
          <w:bCs/>
          <w:sz w:val="32"/>
          <w:szCs w:val="32"/>
        </w:rPr>
        <w:t>2.租赁单位应提供完整、真实的设备档案资料。</w:t>
      </w:r>
    </w:p>
    <w:p w14:paraId="66534A50">
      <w:pPr>
        <w:spacing w:line="560" w:lineRule="exact"/>
        <w:ind w:firstLine="640" w:firstLineChars="200"/>
        <w:rPr>
          <w:rFonts w:hint="eastAsia" w:ascii="仿宋_GB2312" w:hAnsi="仿宋" w:eastAsia="仿宋_GB2312" w:cs="仿宋"/>
          <w:bCs/>
          <w:sz w:val="32"/>
          <w:szCs w:val="32"/>
        </w:rPr>
      </w:pPr>
      <w:r>
        <w:rPr>
          <w:rFonts w:hint="eastAsia" w:ascii="仿宋_GB2312" w:hAnsi="仿宋" w:eastAsia="仿宋_GB2312" w:cs="仿宋"/>
          <w:bCs/>
          <w:sz w:val="32"/>
          <w:szCs w:val="32"/>
        </w:rPr>
        <w:t>3.所提供设备的技术性能参数须符合相关法律法规、规范标准及安装使用要求。</w:t>
      </w:r>
    </w:p>
    <w:p w14:paraId="2456C5B7">
      <w:pPr>
        <w:spacing w:line="560" w:lineRule="exact"/>
        <w:ind w:firstLine="640" w:firstLineChars="200"/>
        <w:rPr>
          <w:rFonts w:hint="eastAsia" w:ascii="仿宋_GB2312" w:hAnsi="仿宋" w:eastAsia="仿宋_GB2312" w:cs="仿宋"/>
          <w:bCs/>
          <w:sz w:val="32"/>
          <w:szCs w:val="32"/>
        </w:rPr>
      </w:pPr>
      <w:r>
        <w:rPr>
          <w:rFonts w:hint="eastAsia" w:ascii="仿宋_GB2312" w:hAnsi="仿宋" w:eastAsia="仿宋_GB2312" w:cs="仿宋"/>
          <w:bCs/>
          <w:sz w:val="32"/>
          <w:szCs w:val="32"/>
        </w:rPr>
        <w:t>4.设备出库前应完成维护保养工作，并进行自检，提供自检合格清单后方可出租。</w:t>
      </w:r>
    </w:p>
    <w:p w14:paraId="2FEBD17A">
      <w:pPr>
        <w:spacing w:line="560" w:lineRule="exact"/>
        <w:ind w:firstLine="643" w:firstLineChars="200"/>
        <w:rPr>
          <w:rFonts w:hint="eastAsia" w:ascii="仿宋" w:hAnsi="仿宋" w:eastAsia="仿宋" w:cs="仿宋"/>
          <w:b/>
          <w:sz w:val="32"/>
          <w:szCs w:val="32"/>
        </w:rPr>
      </w:pPr>
      <w:r>
        <w:rPr>
          <w:rFonts w:hint="eastAsia" w:ascii="仿宋" w:hAnsi="仿宋" w:eastAsia="仿宋" w:cs="仿宋"/>
          <w:b/>
          <w:sz w:val="32"/>
          <w:szCs w:val="32"/>
        </w:rPr>
        <w:t>安拆单位：</w:t>
      </w:r>
    </w:p>
    <w:p w14:paraId="04D0008D">
      <w:pPr>
        <w:spacing w:line="560" w:lineRule="exact"/>
        <w:ind w:firstLine="640" w:firstLineChars="200"/>
        <w:rPr>
          <w:rFonts w:ascii="仿宋_GB2312" w:eastAsia="仿宋_GB2312"/>
          <w:sz w:val="32"/>
          <w:szCs w:val="32"/>
        </w:rPr>
      </w:pPr>
      <w:r>
        <w:rPr>
          <w:rFonts w:hint="eastAsia" w:ascii="仿宋_GB2312" w:eastAsia="仿宋_GB2312"/>
          <w:sz w:val="32"/>
          <w:szCs w:val="32"/>
        </w:rPr>
        <w:t>1.承担安装（加节、附墙）拆卸工作的单位必须具有相应的资质，其安全生产许可证应真实有效。</w:t>
      </w:r>
    </w:p>
    <w:p w14:paraId="3AB1E2C9">
      <w:pPr>
        <w:spacing w:line="560" w:lineRule="exact"/>
        <w:ind w:firstLine="640" w:firstLineChars="200"/>
        <w:rPr>
          <w:rFonts w:ascii="仿宋_GB2312" w:eastAsia="仿宋_GB2312"/>
          <w:sz w:val="32"/>
          <w:szCs w:val="32"/>
        </w:rPr>
      </w:pPr>
      <w:r>
        <w:rPr>
          <w:rFonts w:hint="eastAsia" w:ascii="仿宋_GB2312" w:eastAsia="仿宋_GB2312"/>
          <w:sz w:val="32"/>
          <w:szCs w:val="32"/>
        </w:rPr>
        <w:t>2.安装拆卸单位的关键岗位人员及作业人员，必须持有由建设主管部门颁发的相应资格证书。</w:t>
      </w:r>
    </w:p>
    <w:p w14:paraId="55561063">
      <w:pPr>
        <w:spacing w:line="560" w:lineRule="exact"/>
        <w:ind w:firstLine="640" w:firstLineChars="200"/>
        <w:rPr>
          <w:rFonts w:ascii="仿宋_GB2312" w:eastAsia="仿宋_GB2312"/>
          <w:sz w:val="32"/>
          <w:szCs w:val="32"/>
        </w:rPr>
      </w:pPr>
      <w:r>
        <w:rPr>
          <w:rFonts w:hint="eastAsia" w:ascii="仿宋_GB2312" w:eastAsia="仿宋_GB2312"/>
          <w:sz w:val="32"/>
          <w:szCs w:val="32"/>
        </w:rPr>
        <w:t>3.在安装拆卸作业开始前，应对相关设备及作业现场进行详细检查，如不符合安全作业条件，不得进行相关操作。</w:t>
      </w:r>
    </w:p>
    <w:p w14:paraId="61BF77DC">
      <w:pPr>
        <w:spacing w:line="560" w:lineRule="exact"/>
        <w:ind w:firstLine="643" w:firstLineChars="200"/>
        <w:rPr>
          <w:rFonts w:hint="eastAsia" w:ascii="仿宋" w:hAnsi="仿宋" w:eastAsia="仿宋" w:cs="仿宋"/>
          <w:b/>
          <w:sz w:val="32"/>
          <w:szCs w:val="32"/>
        </w:rPr>
      </w:pPr>
      <w:r>
        <w:rPr>
          <w:rFonts w:hint="eastAsia" w:ascii="仿宋" w:hAnsi="仿宋" w:eastAsia="仿宋" w:cs="仿宋"/>
          <w:b/>
          <w:sz w:val="32"/>
          <w:szCs w:val="32"/>
        </w:rPr>
        <w:t>安装要求：</w:t>
      </w:r>
    </w:p>
    <w:p w14:paraId="09662138">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1.对进场的构配件进行检查与联合验收，监理单位须全程参与并认真核查，签署验收意见。对于存在变形、脱焊、锈蚀等质量缺陷的不合格构件，一律不得进场安装。</w:t>
      </w:r>
    </w:p>
    <w:p w14:paraId="2E15233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2.安拆作业现场应划定明确的安全警戒区域，统一指挥安拆作业流程，并严格依照施工方案、设备说明书及相关规范要求进行操作。</w:t>
      </w:r>
    </w:p>
    <w:p w14:paraId="7BF4752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安拆单位关键岗位人员须对安拆过程实施现场监督与指导。项目部分管设备的安全员、机械员及监理人员应对安拆管理和作业人员进行身份核实，实施全程旁站，并详细记录旁站情况。安拆作业人员须接受安全教育和专项技术交底后方可上岗，作业过程中应正确佩戴使用劳动保护用品。</w:t>
      </w:r>
    </w:p>
    <w:p w14:paraId="6C3E5AC3">
      <w:pPr>
        <w:spacing w:line="560" w:lineRule="exact"/>
        <w:ind w:firstLine="640" w:firstLineChars="200"/>
        <w:rPr>
          <w:rFonts w:hint="eastAsia" w:ascii="仿宋_GB2312" w:hAnsi="仿宋" w:eastAsia="仿宋_GB2312" w:cs="仿宋"/>
          <w:bCs/>
          <w:sz w:val="32"/>
          <w:szCs w:val="32"/>
        </w:rPr>
      </w:pPr>
      <w:r>
        <w:rPr>
          <w:rFonts w:hint="eastAsia" w:ascii="仿宋_GB2312" w:hAnsi="仿宋" w:eastAsia="仿宋_GB2312" w:cs="仿宋"/>
          <w:sz w:val="32"/>
          <w:szCs w:val="32"/>
        </w:rPr>
        <w:t>4.安装完毕后，安装单位应按照相关规定进行全面的自检验收。严禁擅自安装非原厂制造的标准节及附着装置。</w:t>
      </w:r>
    </w:p>
    <w:p w14:paraId="2F2CDAB6">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检测验收要求：</w:t>
      </w:r>
    </w:p>
    <w:p w14:paraId="66CF32EF">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1.检测单位须具备相应资质，并与使用单位签订正式的委托检测合同。</w:t>
      </w:r>
    </w:p>
    <w:p w14:paraId="35E1EB38">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2.检测人员应依据相关检测标准，对设备安装质量进行检测。</w:t>
      </w:r>
    </w:p>
    <w:p w14:paraId="3709888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3.检测前需提前通知监督机构；如检测过程中发现问题，应及时告知相关单位及监督机构，直至检测合格为止。</w:t>
      </w:r>
    </w:p>
    <w:p w14:paraId="03C68972">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4.检测报告应确保内容真实，并按时出具。</w:t>
      </w:r>
    </w:p>
    <w:p w14:paraId="72937FF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5.建筑起重机械及防坠安全器须每年进行一次检验。</w:t>
      </w:r>
    </w:p>
    <w:p w14:paraId="1FA08D8F">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6.安装、加节及附墙作业须在白天且天气良好的条件下进行，作业完成后须经共同验收合格，方可投入使用。</w:t>
      </w:r>
    </w:p>
    <w:p w14:paraId="6D635939">
      <w:pPr>
        <w:spacing w:line="560" w:lineRule="exact"/>
        <w:ind w:firstLine="643" w:firstLineChars="200"/>
        <w:rPr>
          <w:rFonts w:hint="eastAsia" w:ascii="仿宋" w:hAnsi="仿宋" w:eastAsia="仿宋"/>
          <w:b/>
          <w:bCs/>
          <w:sz w:val="32"/>
          <w:szCs w:val="32"/>
        </w:rPr>
      </w:pPr>
      <w:r>
        <w:rPr>
          <w:rFonts w:hint="eastAsia" w:ascii="仿宋" w:hAnsi="仿宋" w:eastAsia="仿宋"/>
          <w:b/>
          <w:bCs/>
          <w:sz w:val="32"/>
          <w:szCs w:val="32"/>
        </w:rPr>
        <w:t>使用登记要求：</w:t>
      </w:r>
    </w:p>
    <w:p w14:paraId="1762DB57">
      <w:pPr>
        <w:spacing w:line="560" w:lineRule="exact"/>
        <w:ind w:firstLine="640" w:firstLineChars="200"/>
        <w:rPr>
          <w:rFonts w:ascii="仿宋_GB2312" w:eastAsia="仿宋_GB2312"/>
          <w:sz w:val="32"/>
          <w:szCs w:val="32"/>
        </w:rPr>
      </w:pPr>
      <w:r>
        <w:rPr>
          <w:rFonts w:hint="eastAsia" w:ascii="仿宋_GB2312" w:eastAsia="仿宋_GB2312"/>
          <w:sz w:val="32"/>
          <w:szCs w:val="32"/>
        </w:rPr>
        <w:t>1.使用单位应按要求配备建筑起重机械</w:t>
      </w:r>
      <w:r>
        <w:rPr>
          <w:rFonts w:hint="eastAsia" w:ascii="仿宋_GB2312" w:eastAsia="仿宋_GB2312"/>
          <w:color w:val="FF0000"/>
          <w:sz w:val="32"/>
          <w:szCs w:val="32"/>
        </w:rPr>
        <w:t>司机及信号司索工</w:t>
      </w:r>
      <w:r>
        <w:rPr>
          <w:rFonts w:hint="eastAsia" w:ascii="仿宋_GB2312" w:eastAsia="仿宋_GB2312"/>
          <w:sz w:val="32"/>
          <w:szCs w:val="32"/>
        </w:rPr>
        <w:t>，其人员须持有建设行政主管部门颁发</w:t>
      </w:r>
      <w:r>
        <w:rPr>
          <w:rFonts w:hint="eastAsia" w:ascii="仿宋_GB2312" w:eastAsia="仿宋_GB2312"/>
          <w:color w:val="FF0000"/>
          <w:sz w:val="32"/>
          <w:szCs w:val="32"/>
        </w:rPr>
        <w:t>的资格证书</w:t>
      </w:r>
      <w:r>
        <w:rPr>
          <w:rFonts w:hint="eastAsia" w:ascii="仿宋_GB2312" w:eastAsia="仿宋_GB2312"/>
          <w:sz w:val="32"/>
          <w:szCs w:val="32"/>
        </w:rPr>
        <w:t>。</w:t>
      </w:r>
    </w:p>
    <w:p w14:paraId="4685675B">
      <w:pPr>
        <w:spacing w:line="560" w:lineRule="exact"/>
        <w:ind w:firstLine="640" w:firstLineChars="200"/>
        <w:rPr>
          <w:rFonts w:ascii="仿宋_GB2312" w:eastAsia="仿宋_GB2312"/>
          <w:sz w:val="32"/>
          <w:szCs w:val="32"/>
        </w:rPr>
      </w:pPr>
      <w:r>
        <w:rPr>
          <w:rFonts w:hint="eastAsia" w:ascii="仿宋_GB2312" w:eastAsia="仿宋_GB2312"/>
          <w:sz w:val="32"/>
          <w:szCs w:val="32"/>
        </w:rPr>
        <w:t>2.使用单位须与操作人员依法签订劳动合同。</w:t>
      </w:r>
    </w:p>
    <w:p w14:paraId="06DAE43B">
      <w:pPr>
        <w:spacing w:line="560" w:lineRule="exact"/>
        <w:ind w:firstLine="640" w:firstLineChars="200"/>
        <w:rPr>
          <w:rFonts w:ascii="仿宋_GB2312" w:eastAsia="仿宋_GB2312"/>
          <w:sz w:val="32"/>
          <w:szCs w:val="32"/>
        </w:rPr>
      </w:pPr>
      <w:r>
        <w:rPr>
          <w:rFonts w:hint="eastAsia" w:ascii="仿宋_GB2312" w:eastAsia="仿宋_GB2312"/>
          <w:sz w:val="32"/>
          <w:szCs w:val="32"/>
        </w:rPr>
        <w:t>3.监督机构核发的备案证和使用登记证电子证照打印后悬挂在设备显著位置。</w:t>
      </w:r>
    </w:p>
    <w:p w14:paraId="16725A91">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使用管理要求：</w:t>
      </w:r>
    </w:p>
    <w:p w14:paraId="3C0929D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1.起重臂回转半径范围内的加工区、办公区及生活区，应按照相关规定搭设符合规范要求的防护棚，防护棚的搭设应编制专项方案，并经验收合格后方可投入使用。</w:t>
      </w:r>
    </w:p>
    <w:p w14:paraId="46961928">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2.建筑起重机械的安全装置及配套的安全防护设施应依据相关规范及时设置到位，并确保在使用过程中始终保持完好有效。</w:t>
      </w:r>
    </w:p>
    <w:p w14:paraId="074FF26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3.施工升降机与物料提升机的吊笼运行，必须在有效的附墙装置控制范围内进行。</w:t>
      </w:r>
    </w:p>
    <w:p w14:paraId="2112BE8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4.每日使用前，</w:t>
      </w:r>
      <w:r>
        <w:rPr>
          <w:rFonts w:hint="eastAsia" w:ascii="仿宋_GB2312" w:hAnsi="仿宋" w:eastAsia="仿宋_GB2312" w:cs="仿宋"/>
          <w:color w:val="FF0000"/>
          <w:sz w:val="32"/>
          <w:szCs w:val="32"/>
        </w:rPr>
        <w:t>建筑起重机械信号司索工</w:t>
      </w:r>
      <w:r>
        <w:rPr>
          <w:rFonts w:hint="eastAsia" w:ascii="仿宋_GB2312" w:hAnsi="仿宋" w:eastAsia="仿宋_GB2312" w:cs="仿宋"/>
          <w:sz w:val="32"/>
          <w:szCs w:val="32"/>
        </w:rPr>
        <w:t>应对所操作的设备及吊索具等进行认真检查，并如实填写检查记录、交接班记录及周期检查记录等，记录内容须按规范样表填写。涉及零部件更换（需提供出厂资料）、顶升加节、附墙等作业，应具备相应的自检及验收资料；安全员日记和监理旁站记录应真实、详细。</w:t>
      </w:r>
    </w:p>
    <w:p w14:paraId="6723C62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w:t>
      </w:r>
      <w:r>
        <w:rPr>
          <w:rFonts w:hint="eastAsia"/>
        </w:rPr>
        <w:t xml:space="preserve"> </w:t>
      </w:r>
      <w:r>
        <w:rPr>
          <w:rFonts w:hint="eastAsia" w:ascii="仿宋_GB2312" w:hAnsi="仿宋" w:eastAsia="仿宋_GB2312" w:cs="仿宋"/>
          <w:sz w:val="32"/>
          <w:szCs w:val="32"/>
        </w:rPr>
        <w:t>风速超过9.0m/s（约5级风）时，严禁进行安装、拆卸、顶升作业；风速达到12.0m/s（约6级风）时必须停止起重吊装作业；吊索具应符合相关规范及实际使用要求。</w:t>
      </w:r>
    </w:p>
    <w:p w14:paraId="6275140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6.应按规范悬挂安全警示牌、岗位责任牌、操作规程及“十不吊”等标识。</w:t>
      </w:r>
    </w:p>
    <w:p w14:paraId="408EAFFB">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7.人员变更时，必须经过安全教育和安全技术交底后方可上岗作业。</w:t>
      </w:r>
    </w:p>
    <w:p w14:paraId="3D01FCB0">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（三）安全重点</w:t>
      </w:r>
    </w:p>
    <w:p w14:paraId="1047B0E0">
      <w:pPr>
        <w:spacing w:line="560" w:lineRule="exact"/>
        <w:ind w:firstLine="640" w:firstLineChars="200"/>
        <w:rPr>
          <w:rFonts w:hint="eastAsia" w:ascii="仿宋_GB2312" w:hAnsi="仿宋" w:eastAsia="仿宋_GB2312" w:cs="仿宋"/>
          <w:b/>
          <w:bCs/>
          <w:sz w:val="32"/>
          <w:szCs w:val="32"/>
        </w:rPr>
      </w:pPr>
      <w:r>
        <w:rPr>
          <w:rFonts w:hint="eastAsia" w:ascii="仿宋_GB2312" w:hAnsi="仿宋" w:eastAsia="仿宋_GB2312" w:cs="仿宋"/>
          <w:sz w:val="32"/>
          <w:szCs w:val="32"/>
        </w:rPr>
        <w:t>国家明令淘汰的产品（详见建设部公告）、超过规定使用年限经评估不合格的产品、不符合国家现行相关标准的产品、没有完整安全技术档案的产品、结构上有可见裂纹和严重锈蚀的、主要受力构件存在塑性变形的、连接件存在严重磨损和塑性变形的、钢丝绳达到报废标准的、安全装置不齐全或失效的建筑起重机械严禁使用。</w:t>
      </w:r>
    </w:p>
    <w:p w14:paraId="2959390C">
      <w:pPr>
        <w:spacing w:line="560" w:lineRule="exact"/>
        <w:ind w:firstLine="643" w:firstLineChars="200"/>
        <w:rPr>
          <w:rFonts w:hint="eastAsia" w:ascii="仿宋_GB2312" w:hAnsi="仿宋" w:eastAsia="仿宋_GB2312" w:cs="仿宋"/>
          <w:sz w:val="32"/>
          <w:szCs w:val="32"/>
        </w:rPr>
      </w:pPr>
      <w:r>
        <w:rPr>
          <w:rFonts w:hint="eastAsia" w:ascii="仿宋_GB2312" w:hAnsi="仿宋" w:eastAsia="仿宋_GB2312" w:cs="仿宋"/>
          <w:b/>
          <w:bCs/>
          <w:sz w:val="32"/>
          <w:szCs w:val="32"/>
        </w:rPr>
        <w:t>塔式起重机：</w:t>
      </w:r>
      <w:r>
        <w:rPr>
          <w:rFonts w:hint="eastAsia" w:ascii="仿宋_GB2312" w:hAnsi="仿宋" w:eastAsia="仿宋_GB2312" w:cs="仿宋"/>
          <w:sz w:val="32"/>
          <w:szCs w:val="32"/>
        </w:rPr>
        <w:t xml:space="preserve"> </w:t>
      </w:r>
    </w:p>
    <w:p w14:paraId="5EEE59A0">
      <w:pPr>
        <w:pStyle w:val="38"/>
        <w:numPr>
          <w:ilvl w:val="0"/>
          <w:numId w:val="12"/>
        </w:numPr>
        <w:spacing w:line="560" w:lineRule="exact"/>
        <w:ind w:firstLine="640"/>
        <w:rPr>
          <w:rFonts w:hint="eastAsia" w:ascii="仿宋_GB2312" w:hAnsi="仿宋" w:eastAsia="仿宋_GB2312" w:cs="仿宋"/>
          <w:sz w:val="32"/>
          <w:szCs w:val="32"/>
        </w:rPr>
      </w:pPr>
      <w:r>
        <w:rPr>
          <w:rFonts w:ascii="仿宋_GB2312" w:hAnsi="仿宋" w:eastAsia="仿宋_GB2312" w:cs="仿宋"/>
          <w:sz w:val="32"/>
          <w:szCs w:val="32"/>
        </w:rPr>
        <w:t>建筑起重机械的安装、拆卸工程专项施工方案，应由</w:t>
      </w:r>
      <w:r>
        <w:rPr>
          <w:rFonts w:ascii="Courier New" w:hAnsi="Courier New" w:eastAsia="仿宋_GB2312" w:cs="Courier New"/>
          <w:sz w:val="32"/>
          <w:szCs w:val="32"/>
        </w:rPr>
        <w:t>‌</w:t>
      </w:r>
      <w:r>
        <w:rPr>
          <w:rFonts w:ascii="仿宋_GB2312" w:hAnsi="仿宋" w:eastAsia="仿宋_GB2312" w:cs="仿宋"/>
          <w:sz w:val="32"/>
          <w:szCs w:val="32"/>
        </w:rPr>
        <w:t>安装单位</w:t>
      </w:r>
      <w:r>
        <w:rPr>
          <w:rFonts w:ascii="Courier New" w:hAnsi="Courier New" w:eastAsia="仿宋_GB2312" w:cs="Courier New"/>
          <w:sz w:val="32"/>
          <w:szCs w:val="32"/>
        </w:rPr>
        <w:t>‌</w:t>
      </w:r>
      <w:r>
        <w:rPr>
          <w:rFonts w:ascii="仿宋_GB2312" w:hAnsi="仿宋" w:eastAsia="仿宋_GB2312" w:cs="仿宋"/>
          <w:sz w:val="32"/>
          <w:szCs w:val="32"/>
        </w:rPr>
        <w:t>编制，施工总承包单位负责组织专家论证（如需）及监督实施</w:t>
      </w:r>
      <w:r>
        <w:rPr>
          <w:rFonts w:hint="eastAsia" w:ascii="仿宋_GB2312" w:hAnsi="仿宋" w:eastAsia="仿宋_GB2312" w:cs="仿宋"/>
          <w:sz w:val="32"/>
          <w:szCs w:val="32"/>
        </w:rPr>
        <w:t>。</w:t>
      </w:r>
      <w:r>
        <w:rPr>
          <w:rFonts w:ascii="仿宋_GB2312" w:hAnsi="仿宋" w:eastAsia="仿宋_GB2312" w:cs="仿宋"/>
          <w:sz w:val="32"/>
          <w:szCs w:val="32"/>
        </w:rPr>
        <w:t>方案需经</w:t>
      </w:r>
      <w:r>
        <w:rPr>
          <w:rFonts w:ascii="Courier New" w:hAnsi="Courier New" w:eastAsia="仿宋_GB2312" w:cs="Courier New"/>
          <w:sz w:val="32"/>
          <w:szCs w:val="32"/>
        </w:rPr>
        <w:t>‌</w:t>
      </w:r>
      <w:r>
        <w:rPr>
          <w:rFonts w:ascii="仿宋_GB2312" w:hAnsi="仿宋" w:eastAsia="仿宋_GB2312" w:cs="仿宋"/>
          <w:sz w:val="32"/>
          <w:szCs w:val="32"/>
        </w:rPr>
        <w:t>安装单位技术负责人签字</w:t>
      </w:r>
      <w:r>
        <w:rPr>
          <w:rFonts w:ascii="Courier New" w:hAnsi="Courier New" w:eastAsia="仿宋_GB2312" w:cs="Courier New"/>
          <w:sz w:val="32"/>
          <w:szCs w:val="32"/>
        </w:rPr>
        <w:t>‌</w:t>
      </w:r>
      <w:r>
        <w:rPr>
          <w:rFonts w:ascii="仿宋_GB2312" w:hAnsi="仿宋" w:eastAsia="仿宋_GB2312" w:cs="仿宋"/>
          <w:sz w:val="32"/>
          <w:szCs w:val="32"/>
        </w:rPr>
        <w:t>，并报</w:t>
      </w:r>
      <w:r>
        <w:rPr>
          <w:rFonts w:ascii="Courier New" w:hAnsi="Courier New" w:eastAsia="仿宋_GB2312" w:cs="Courier New"/>
          <w:sz w:val="32"/>
          <w:szCs w:val="32"/>
        </w:rPr>
        <w:t>‌</w:t>
      </w:r>
      <w:r>
        <w:rPr>
          <w:rFonts w:ascii="仿宋_GB2312" w:hAnsi="仿宋" w:eastAsia="仿宋_GB2312" w:cs="仿宋"/>
          <w:sz w:val="32"/>
          <w:szCs w:val="32"/>
        </w:rPr>
        <w:t>施工总承包单位和监理单位审核合格</w:t>
      </w:r>
      <w:r>
        <w:rPr>
          <w:rFonts w:ascii="Courier New" w:hAnsi="Courier New" w:eastAsia="仿宋_GB2312" w:cs="Courier New"/>
          <w:sz w:val="32"/>
          <w:szCs w:val="32"/>
        </w:rPr>
        <w:t>‌</w:t>
      </w:r>
      <w:r>
        <w:rPr>
          <w:rFonts w:ascii="仿宋_GB2312" w:hAnsi="仿宋" w:eastAsia="仿宋_GB2312" w:cs="仿宋"/>
          <w:sz w:val="32"/>
          <w:szCs w:val="32"/>
        </w:rPr>
        <w:t>后，方可实施</w:t>
      </w:r>
      <w:r>
        <w:rPr>
          <w:rFonts w:ascii="Courier New" w:hAnsi="Courier New" w:eastAsia="仿宋_GB2312" w:cs="Courier New"/>
          <w:sz w:val="32"/>
          <w:szCs w:val="32"/>
        </w:rPr>
        <w:t>‌</w:t>
      </w:r>
      <w:r>
        <w:rPr>
          <w:rFonts w:hint="eastAsia" w:ascii="Courier New" w:hAnsi="Courier New" w:eastAsia="仿宋_GB2312" w:cs="Courier New"/>
          <w:sz w:val="32"/>
          <w:szCs w:val="32"/>
        </w:rPr>
        <w:t>。</w:t>
      </w:r>
    </w:p>
    <w:p w14:paraId="78F127E9">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群塔作业时，应编制专项方案（</w:t>
      </w:r>
      <w:r>
        <w:rPr>
          <w:rFonts w:ascii="仿宋_GB2312" w:hAnsi="仿宋" w:eastAsia="仿宋_GB2312" w:cs="仿宋"/>
          <w:sz w:val="32"/>
          <w:szCs w:val="32"/>
        </w:rPr>
        <w:t>施工总承包单位</w:t>
      </w:r>
      <w:r>
        <w:rPr>
          <w:rFonts w:hint="eastAsia" w:ascii="仿宋_GB2312" w:hAnsi="仿宋" w:eastAsia="仿宋_GB2312" w:cs="仿宋"/>
          <w:sz w:val="32"/>
          <w:szCs w:val="32"/>
        </w:rPr>
        <w:t>编制），采取防碰撞的安全措施。低位塔机的起重臂端部与另一台塔机的塔身之间的距离不得小于2米；高位塔机的最低位置的部件（或吊钩升至最高点或平衡重的最低部位）与低位塔机中处于最高位置部件之间的垂直距离不得小于2米。</w:t>
      </w:r>
    </w:p>
    <w:p w14:paraId="56951F36">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塔式起重机应编制基础方案，基础的地基承载力应符合使用说明书和设计图纸的要求。若地基承载力等参数与说明书不符，应重新设计基础。安装前应对基础进行验收，验收合格后方可进行安装。基础周边应设置排水措施与安全围栏。对于设置在地下室顶板、楼面或其他下部悬空结构上的塔机，应对其基础支撑结构进行承载力验算。基础混凝土强度等级不低于C30，塔机组装必须在固定基础混凝土强度达到设计值的80％以上时方可进行。</w:t>
      </w:r>
    </w:p>
    <w:p w14:paraId="31DB4757">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当附墙水平距离、附墙间距等不满足使用说明书要求时，应进行设计计算、绘制制作图和编写相关说明。附墙装置的构件和预埋件应由原制造厂家制作。附墙装置设计时，应对支承处的建筑主体结构进行验算。</w:t>
      </w:r>
    </w:p>
    <w:p w14:paraId="444C9D96">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安全保护装置完好有效，主要构配件无裂纹、塑性变形、严重锈蚀等，连接件及其防松脱件严禁用其他代用品代替。连接件及其防松脱件应使用力矩扳手或专用工具紧固连接螺栓，预紧扭矩应达到1400N·m。每根高强螺栓应装配两个平垫和两个螺母，并拧紧防松。</w:t>
      </w:r>
    </w:p>
    <w:p w14:paraId="4A465A2F">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塔机使用前，应对起重司机、起重信号工、司索工等特种作业人员进行安全技术交底。塔吊起吊和落吊均应由信号司索工操作。</w:t>
      </w:r>
    </w:p>
    <w:p w14:paraId="07FE9CFC">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吊索与物件的夹角应采用45-60°，且不得小于30°；起吊重物时应绑扎平衡、牢固，不得在重物上再堆放或悬挂零星物件，易散落物件应使用吊笼；作业时起重臂和重物下方严禁有人停留、工作或通过。当塔机使用高度超过30米时应配置障碍灯，起重臂根部铰点高度超过50米时应配备风速仪；塔身上部不得悬挂标语标牌。</w:t>
      </w:r>
    </w:p>
    <w:p w14:paraId="4DD93634">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塔机的尾部与周围建筑物及其外围施工设施之间的安全距离不小于0.6米；</w:t>
      </w:r>
      <w:r>
        <w:rPr>
          <w:rFonts w:hint="eastAsia" w:ascii="仿宋_GB2312" w:hAnsi="仿宋_GB2312" w:eastAsia="仿宋_GB2312" w:cs="仿宋_GB2312"/>
          <w:sz w:val="32"/>
          <w:szCs w:val="32"/>
        </w:rPr>
        <w:t>司机室应配置灭火器；供、配电系统、防雷接地符合规范要求。</w:t>
      </w:r>
    </w:p>
    <w:p w14:paraId="21014DBF">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基础混凝土施工中，在基础顶面四角应作好沉降及位移观测点，并作好原始记录，塔机安装后应定期观测并记录。沉降量不得大于50</w:t>
      </w:r>
      <w:r>
        <w:rPr>
          <w:rFonts w:hint="eastAsia" w:ascii="微软雅黑" w:hAnsi="微软雅黑" w:eastAsia="微软雅黑" w:cs="微软雅黑"/>
          <w:sz w:val="32"/>
          <w:szCs w:val="32"/>
        </w:rPr>
        <w:t>㎜</w:t>
      </w:r>
      <w:r>
        <w:rPr>
          <w:rFonts w:hint="eastAsia" w:ascii="仿宋_GB2312" w:hAnsi="仿宋_GB2312" w:eastAsia="仿宋_GB2312" w:cs="仿宋_GB2312"/>
          <w:sz w:val="32"/>
          <w:szCs w:val="32"/>
        </w:rPr>
        <w:t>，倾斜率不得大于</w:t>
      </w:r>
      <w:r>
        <w:rPr>
          <w:rFonts w:hint="eastAsia" w:ascii="仿宋_GB2312" w:hAnsi="仿宋" w:eastAsia="仿宋_GB2312" w:cs="仿宋"/>
          <w:sz w:val="32"/>
          <w:szCs w:val="32"/>
        </w:rPr>
        <w:t>1/1000。</w:t>
      </w:r>
    </w:p>
    <w:p w14:paraId="4A105E98">
      <w:pPr>
        <w:pStyle w:val="38"/>
        <w:spacing w:line="560" w:lineRule="exact"/>
        <w:ind w:firstLine="643"/>
        <w:rPr>
          <w:rFonts w:hint="eastAsia" w:ascii="仿宋_GB2312" w:hAnsi="仿宋" w:eastAsia="仿宋_GB2312" w:cs="仿宋"/>
          <w:b/>
          <w:bCs/>
          <w:sz w:val="32"/>
          <w:szCs w:val="32"/>
        </w:rPr>
      </w:pPr>
      <w:r>
        <w:rPr>
          <w:rFonts w:hint="eastAsia" w:ascii="仿宋_GB2312" w:hAnsi="仿宋" w:eastAsia="仿宋_GB2312" w:cs="仿宋"/>
          <w:b/>
          <w:bCs/>
          <w:sz w:val="32"/>
          <w:szCs w:val="32"/>
        </w:rPr>
        <w:t>施工升降机：</w:t>
      </w:r>
    </w:p>
    <w:p w14:paraId="7109CE9F">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1.施工升降机的规格型号、数量需满足施工现场货物尺寸、运载重量、运输频率、使用高度及安装位置等要求；其地基、基础应符合使用说明书规定。若基础设置在地下室顶板、楼面或其他下部悬空结构上，需对基础支撑结构进行承载力验算，安装前应按要求验收基础，合格后方可安装。</w:t>
      </w:r>
    </w:p>
    <w:p w14:paraId="2048AF10">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2.基础周边水平距离5米以内不得开挖井沟，不得堆放易燃易爆物品及其他杂物。</w:t>
      </w:r>
    </w:p>
    <w:p w14:paraId="1F70B1AF">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3.安全保护装置完好有效，主要构配件无裂纹、塑性变形、严重锈蚀等，防坠安全器（使用寿命为5年）应在一年有效标定期内使用；使用期间每3个月应至少进行一次额定载重量的坠落试验。</w:t>
      </w:r>
    </w:p>
    <w:p w14:paraId="415D5B3E">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4.梯笼内外均应设置紧急停止开关，梯笼内部及各层门处应装设联络信号装置；上限位应保持大于1.8米的上部安全距离，且上限位与上极限开关之间的越程距离应大于0.15米。每个吊笼必须单独设置隔离开关和漏电保护器，司机室内应配备灭火器。</w:t>
      </w:r>
    </w:p>
    <w:p w14:paraId="35823D1B">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5.附墙撑杆平面与附着面的法向夹角不应大于8°。</w:t>
      </w:r>
    </w:p>
    <w:p w14:paraId="606EF7A5">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6.地面出入口处须设置防护棚，周边应设防护围栏且高度符合规范要求，防护棚长度不应小于3米，宽度应大于吊笼宽度。</w:t>
      </w:r>
    </w:p>
    <w:p w14:paraId="1C1F4FAF">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7.限载牌（注明额定载重量、额定乘员数）应设置在吊笼醒目位置。运行通道内不得有障碍物；不得利用导轨架、层站悬挂标语、旗帜等。</w:t>
      </w:r>
    </w:p>
    <w:p w14:paraId="78409EC6">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8.夜间不得进行拆卸作业；当拆卸作业不能连续完成时，应采取相应安全措施，确保与基础相连的导轨架在最后一个附墙架拆除后仍能保持各方面的稳定性。</w:t>
      </w:r>
    </w:p>
    <w:p w14:paraId="62180697">
      <w:pPr>
        <w:pStyle w:val="38"/>
        <w:spacing w:line="560" w:lineRule="exact"/>
        <w:ind w:firstLine="643"/>
        <w:rPr>
          <w:rFonts w:hint="eastAsia" w:ascii="仿宋_GB2312" w:hAnsi="仿宋" w:eastAsia="仿宋_GB2312" w:cs="仿宋"/>
          <w:b/>
          <w:bCs/>
          <w:sz w:val="32"/>
          <w:szCs w:val="32"/>
        </w:rPr>
      </w:pPr>
      <w:r>
        <w:rPr>
          <w:rFonts w:hint="eastAsia" w:ascii="仿宋_GB2312" w:hAnsi="仿宋" w:eastAsia="仿宋_GB2312" w:cs="仿宋"/>
          <w:b/>
          <w:bCs/>
          <w:sz w:val="32"/>
          <w:szCs w:val="32"/>
        </w:rPr>
        <w:t>物料提升机：</w:t>
      </w:r>
    </w:p>
    <w:p w14:paraId="4EC1C804">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1.物料提升机的额定起重量不宜超过160KN，安装高度不应超过25米。</w:t>
      </w:r>
    </w:p>
    <w:p w14:paraId="7B231046">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2.对基础设置在地下室顶板、楼面或其它下部悬空结构上的物料提升机，应对基础支撑结构进行承载力验算。物料提升机的基础，当设计无要求时，基础土层承载力不应小于80Kpa，基础混凝土强度等级不低于C20，厚度不小于300</w:t>
      </w:r>
      <w:r>
        <w:rPr>
          <w:rFonts w:hint="eastAsia" w:ascii="微软雅黑" w:hAnsi="微软雅黑" w:eastAsia="微软雅黑" w:cs="微软雅黑"/>
          <w:sz w:val="32"/>
          <w:szCs w:val="32"/>
        </w:rPr>
        <w:t>㎜</w:t>
      </w:r>
      <w:r>
        <w:rPr>
          <w:rFonts w:hint="eastAsia" w:ascii="仿宋_GB2312" w:hAnsi="仿宋_GB2312" w:eastAsia="仿宋_GB2312" w:cs="仿宋_GB2312"/>
          <w:sz w:val="32"/>
          <w:szCs w:val="32"/>
        </w:rPr>
        <w:t>；</w:t>
      </w:r>
      <w:r>
        <w:rPr>
          <w:rFonts w:hint="eastAsia" w:ascii="仿宋_GB2312" w:hAnsi="仿宋" w:eastAsia="仿宋_GB2312" w:cs="仿宋"/>
          <w:sz w:val="32"/>
          <w:szCs w:val="32"/>
        </w:rPr>
        <w:t>基础表面应平整，表面平整度不大于10</w:t>
      </w:r>
      <w:r>
        <w:rPr>
          <w:rFonts w:hint="eastAsia" w:ascii="微软雅黑" w:hAnsi="微软雅黑" w:eastAsia="微软雅黑" w:cs="微软雅黑"/>
          <w:sz w:val="32"/>
          <w:szCs w:val="32"/>
        </w:rPr>
        <w:t>㎜</w:t>
      </w:r>
      <w:r>
        <w:rPr>
          <w:rFonts w:hint="eastAsia" w:ascii="仿宋_GB2312" w:hAnsi="仿宋_GB2312" w:eastAsia="仿宋_GB2312" w:cs="仿宋_GB2312"/>
          <w:sz w:val="32"/>
          <w:szCs w:val="32"/>
        </w:rPr>
        <w:t>；</w:t>
      </w:r>
      <w:r>
        <w:rPr>
          <w:rFonts w:hint="eastAsia" w:ascii="仿宋_GB2312" w:hAnsi="仿宋" w:eastAsia="仿宋_GB2312" w:cs="仿宋"/>
          <w:sz w:val="32"/>
          <w:szCs w:val="32"/>
        </w:rPr>
        <w:t>基础周边应有排水设施。</w:t>
      </w:r>
    </w:p>
    <w:p w14:paraId="0B3450EF">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3. 安全保护装置完好有效，主要构配件无裂纹、塑性变形、严重锈蚀等，地面进料口应设置防护围栏、安全防护棚及进料口安全防护门。</w:t>
      </w:r>
    </w:p>
    <w:p w14:paraId="71118BE8">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4.应采用制造商提供的标准附墙架。当标准附墙架不能满足要求时，可经设计计算采用非标附墙架，附墙架的材质应与导轨架一致，附墙架与导轨架及建筑结构应采用刚性连接，不得与脚手架连接，附墙架撑杆平面与附着面的法向夹角不应大于8°。</w:t>
      </w:r>
    </w:p>
    <w:p w14:paraId="49312E21">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5.吊笼门及两侧立面应采用网板结构全高度封闭；吊笼顶部应有防护措施</w:t>
      </w:r>
      <w:r>
        <w:rPr>
          <w:rFonts w:hint="eastAsia" w:ascii="仿宋_GB2312" w:hAnsi="仿宋_GB2312" w:eastAsia="仿宋_GB2312" w:cs="仿宋_GB2312"/>
          <w:sz w:val="32"/>
          <w:szCs w:val="32"/>
        </w:rPr>
        <w:t>。</w:t>
      </w:r>
      <w:r>
        <w:rPr>
          <w:rFonts w:hint="eastAsia" w:ascii="仿宋_GB2312" w:hAnsi="仿宋" w:eastAsia="仿宋_GB2312" w:cs="仿宋"/>
          <w:sz w:val="32"/>
          <w:szCs w:val="32"/>
        </w:rPr>
        <w:t xml:space="preserve"> </w:t>
      </w:r>
    </w:p>
    <w:p w14:paraId="7EC382B9">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6.自由端高度和附墙架间距均不宜大于6米，顶层应设置一道附着，上限位开关上部越程距离不应小于3米。</w:t>
      </w:r>
    </w:p>
    <w:p w14:paraId="2D7AF223">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7.当标准节采用螺栓连接时，螺栓直径不应小于M12，强度等级不应低于8.8级。</w:t>
      </w:r>
    </w:p>
    <w:p w14:paraId="60A7F72A">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8.每个吊篮（吊笼）必须单独安装隔离开关和漏电保护器。携带式控制开关应密封、绝缘，控制线路电压不应大于36V，其引线长度不宜大于5米。</w:t>
      </w:r>
    </w:p>
    <w:p w14:paraId="26C1E6EB">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9.在各楼层平台处应设置楼层显示标志。物料提升机的吊笼，必须在有效的附着装置控制范围以内运行。</w:t>
      </w:r>
    </w:p>
    <w:p w14:paraId="77C484FB">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10.作业结束后，应将吊笼返回底层停放，控制开关扳到零位，并切断电源，锁好开关箱。</w:t>
      </w:r>
    </w:p>
    <w:p w14:paraId="492E998E">
      <w:pPr>
        <w:spacing w:line="560" w:lineRule="exact"/>
        <w:ind w:firstLine="640" w:firstLineChars="200"/>
        <w:rPr>
          <w:rFonts w:hint="eastAsia" w:ascii="黑体" w:hAnsi="黑体" w:eastAsia="黑体" w:cs="仿宋"/>
          <w:sz w:val="32"/>
          <w:szCs w:val="32"/>
        </w:rPr>
      </w:pPr>
      <w:r>
        <w:rPr>
          <w:rFonts w:hint="eastAsia" w:ascii="黑体" w:hAnsi="黑体" w:eastAsia="黑体" w:cs="仿宋"/>
          <w:sz w:val="32"/>
          <w:szCs w:val="32"/>
        </w:rPr>
        <w:t>三、常见问题</w:t>
      </w:r>
    </w:p>
    <w:p w14:paraId="1BC5A68B">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塔吊防碰撞安全措施编制针对性、操作性不强；</w:t>
      </w:r>
    </w:p>
    <w:p w14:paraId="0892E0B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自检、联合验收内容未量化；</w:t>
      </w:r>
    </w:p>
    <w:p w14:paraId="05C290A4">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监理对特种作业人员证件审查把关不严；</w:t>
      </w:r>
    </w:p>
    <w:p w14:paraId="143388BF">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特种作业人员未及时进行班前教育、安全教育及交底；</w:t>
      </w:r>
    </w:p>
    <w:p w14:paraId="1811BE76">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未通过开工安全条件审查擅自安装拆卸；</w:t>
      </w:r>
    </w:p>
    <w:p w14:paraId="7BC47BBF">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6.高强螺栓安装不符合说明书要求（螺栓在下，螺帽在上），扭紧力矩不符合要求（塔吊1400N</w:t>
      </w:r>
      <w:r>
        <w:rPr>
          <w:rFonts w:hint="eastAsia" w:ascii="Cambria Math" w:hAnsi="Cambria Math" w:eastAsia="仿宋_GB2312" w:cs="Cambria Math"/>
          <w:sz w:val="32"/>
          <w:szCs w:val="32"/>
        </w:rPr>
        <w:t>∙</w:t>
      </w:r>
      <w:r>
        <w:rPr>
          <w:rFonts w:hint="eastAsia" w:ascii="仿宋_GB2312" w:hAnsi="仿宋" w:eastAsia="仿宋_GB2312" w:cs="仿宋"/>
          <w:sz w:val="32"/>
          <w:szCs w:val="32"/>
        </w:rPr>
        <w:t>M，施工升降机380N</w:t>
      </w:r>
      <w:r>
        <w:rPr>
          <w:rFonts w:hint="eastAsia" w:ascii="Cambria Math" w:hAnsi="Cambria Math" w:eastAsia="仿宋_GB2312" w:cs="Cambria Math"/>
          <w:sz w:val="32"/>
          <w:szCs w:val="32"/>
        </w:rPr>
        <w:t>∙</w:t>
      </w:r>
      <w:r>
        <w:rPr>
          <w:rFonts w:hint="eastAsia" w:ascii="仿宋_GB2312" w:hAnsi="仿宋" w:eastAsia="仿宋_GB2312" w:cs="仿宋"/>
          <w:sz w:val="32"/>
          <w:szCs w:val="32"/>
        </w:rPr>
        <w:t>M）；</w:t>
      </w:r>
    </w:p>
    <w:p w14:paraId="3BCC482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7</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设备出厂铭牌和备案证、使用登记证电子证照未核验；</w:t>
      </w:r>
    </w:p>
    <w:p w14:paraId="26F893B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8.检查表（使用前、交接班、周期检查记录等）不按规范样表制作填写；</w:t>
      </w:r>
    </w:p>
    <w:p w14:paraId="294809B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9</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基础排水措施不到位；</w:t>
      </w:r>
    </w:p>
    <w:p w14:paraId="4BA93500">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10</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吊索、具不符合规范要求；</w:t>
      </w:r>
    </w:p>
    <w:p w14:paraId="35632F72">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11</w:t>
      </w:r>
      <w:r>
        <w:rPr>
          <w:rFonts w:hint="eastAsia" w:ascii="仿宋_GB2312" w:hAnsi="仿宋" w:eastAsia="仿宋_GB2312" w:cs="仿宋"/>
          <w:sz w:val="32"/>
          <w:szCs w:val="32"/>
          <w:lang w:eastAsia="zh"/>
        </w:rPr>
        <w:t>.塔吊、施工电梯、</w:t>
      </w:r>
      <w:r>
        <w:rPr>
          <w:rFonts w:hint="eastAsia" w:ascii="仿宋_GB2312" w:hAnsi="仿宋" w:eastAsia="仿宋_GB2312" w:cs="仿宋"/>
          <w:sz w:val="32"/>
          <w:szCs w:val="32"/>
        </w:rPr>
        <w:t>物料提升机安全限位装置和安全保护装置不灵敏或失效；</w:t>
      </w:r>
    </w:p>
    <w:p w14:paraId="391FF837">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12</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擅自安装使用非原制造厂制造的标准节、附着装置。</w:t>
      </w:r>
    </w:p>
    <w:p w14:paraId="1A821A9E">
      <w:pPr>
        <w:widowControl/>
        <w:jc w:val="left"/>
        <w:rPr>
          <w:rFonts w:hint="eastAsia" w:ascii="仿宋" w:hAnsi="仿宋" w:eastAsia="仿宋" w:cs="仿宋"/>
          <w:b/>
          <w:bCs/>
          <w:sz w:val="32"/>
          <w:szCs w:val="32"/>
        </w:rPr>
      </w:pPr>
      <w:r>
        <w:rPr>
          <w:rFonts w:hint="eastAsia" w:ascii="仿宋" w:hAnsi="仿宋" w:eastAsia="仿宋" w:cs="仿宋"/>
          <w:b/>
          <w:bCs/>
          <w:sz w:val="32"/>
          <w:szCs w:val="32"/>
        </w:rPr>
        <w:br w:type="page"/>
      </w:r>
    </w:p>
    <w:p w14:paraId="0C43E190">
      <w:pPr>
        <w:spacing w:after="120" w:afterLines="50"/>
        <w:jc w:val="center"/>
        <w:rPr>
          <w:rFonts w:hint="eastAsia" w:ascii="仿宋" w:hAnsi="仿宋" w:eastAsia="仿宋" w:cs="仿宋"/>
          <w:b/>
          <w:bCs/>
          <w:sz w:val="32"/>
          <w:szCs w:val="32"/>
        </w:rPr>
      </w:pPr>
      <w:r>
        <w:rPr>
          <w:rFonts w:hint="eastAsia" w:ascii="仿宋" w:hAnsi="仿宋" w:eastAsia="仿宋" w:cs="仿宋"/>
          <w:b/>
          <w:bCs/>
          <w:sz w:val="32"/>
          <w:szCs w:val="32"/>
        </w:rPr>
        <w:t>建筑起重机械进场铭牌、备案证核实表</w:t>
      </w:r>
    </w:p>
    <w:tbl>
      <w:tblPr>
        <w:tblStyle w:val="13"/>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02"/>
        <w:gridCol w:w="792"/>
        <w:gridCol w:w="2769"/>
        <w:gridCol w:w="949"/>
        <w:gridCol w:w="834"/>
        <w:gridCol w:w="2914"/>
      </w:tblGrid>
      <w:tr w14:paraId="298DE8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trPr>
        <w:tc>
          <w:tcPr>
            <w:tcW w:w="880" w:type="pct"/>
            <w:gridSpan w:val="2"/>
            <w:vAlign w:val="center"/>
          </w:tcPr>
          <w:p w14:paraId="233113B3">
            <w:pPr>
              <w:jc w:val="center"/>
              <w:rPr>
                <w:rFonts w:hint="eastAsia" w:ascii="仿宋" w:hAnsi="仿宋" w:eastAsia="仿宋" w:cs="仿宋"/>
                <w:sz w:val="32"/>
                <w:szCs w:val="32"/>
              </w:rPr>
            </w:pPr>
            <w:r>
              <w:rPr>
                <w:rFonts w:hint="eastAsia" w:ascii="仿宋" w:hAnsi="仿宋" w:eastAsia="仿宋" w:cs="仿宋"/>
                <w:sz w:val="32"/>
                <w:szCs w:val="32"/>
              </w:rPr>
              <w:t>项目名称</w:t>
            </w:r>
          </w:p>
        </w:tc>
        <w:tc>
          <w:tcPr>
            <w:tcW w:w="1528" w:type="pct"/>
            <w:vAlign w:val="center"/>
          </w:tcPr>
          <w:p w14:paraId="2CCD9152">
            <w:pPr>
              <w:jc w:val="center"/>
              <w:rPr>
                <w:rFonts w:hint="eastAsia" w:ascii="仿宋" w:hAnsi="仿宋" w:eastAsia="仿宋" w:cs="仿宋"/>
                <w:sz w:val="32"/>
                <w:szCs w:val="32"/>
              </w:rPr>
            </w:pPr>
          </w:p>
        </w:tc>
        <w:tc>
          <w:tcPr>
            <w:tcW w:w="984" w:type="pct"/>
            <w:gridSpan w:val="2"/>
            <w:vAlign w:val="center"/>
          </w:tcPr>
          <w:p w14:paraId="654CC1B7">
            <w:pPr>
              <w:jc w:val="center"/>
              <w:rPr>
                <w:rFonts w:hint="eastAsia" w:ascii="仿宋" w:hAnsi="仿宋" w:eastAsia="仿宋" w:cs="仿宋"/>
                <w:sz w:val="32"/>
                <w:szCs w:val="32"/>
              </w:rPr>
            </w:pPr>
            <w:r>
              <w:rPr>
                <w:rFonts w:hint="eastAsia" w:ascii="仿宋" w:hAnsi="仿宋" w:eastAsia="仿宋" w:cs="仿宋"/>
                <w:sz w:val="32"/>
                <w:szCs w:val="32"/>
              </w:rPr>
              <w:t>设备类型（型号）</w:t>
            </w:r>
          </w:p>
        </w:tc>
        <w:tc>
          <w:tcPr>
            <w:tcW w:w="1608" w:type="pct"/>
            <w:vAlign w:val="center"/>
          </w:tcPr>
          <w:p w14:paraId="4CB07BE5">
            <w:pPr>
              <w:jc w:val="center"/>
              <w:rPr>
                <w:rFonts w:hint="eastAsia" w:ascii="仿宋" w:hAnsi="仿宋" w:eastAsia="仿宋" w:cs="仿宋"/>
                <w:sz w:val="32"/>
                <w:szCs w:val="32"/>
              </w:rPr>
            </w:pPr>
          </w:p>
        </w:tc>
      </w:tr>
      <w:tr w14:paraId="1DEF8E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33" w:hRule="atLeast"/>
        </w:trPr>
        <w:tc>
          <w:tcPr>
            <w:tcW w:w="880" w:type="pct"/>
            <w:gridSpan w:val="2"/>
            <w:vAlign w:val="center"/>
          </w:tcPr>
          <w:p w14:paraId="440BBE65">
            <w:pPr>
              <w:jc w:val="center"/>
              <w:rPr>
                <w:rFonts w:hint="eastAsia" w:ascii="仿宋" w:hAnsi="仿宋" w:eastAsia="仿宋" w:cs="仿宋"/>
                <w:sz w:val="32"/>
                <w:szCs w:val="32"/>
              </w:rPr>
            </w:pPr>
            <w:r>
              <w:rPr>
                <w:rFonts w:hint="eastAsia" w:ascii="仿宋" w:hAnsi="仿宋" w:eastAsia="仿宋" w:cs="仿宋"/>
                <w:sz w:val="32"/>
                <w:szCs w:val="32"/>
              </w:rPr>
              <w:t>项目地址</w:t>
            </w:r>
          </w:p>
        </w:tc>
        <w:tc>
          <w:tcPr>
            <w:tcW w:w="1528" w:type="pct"/>
            <w:vAlign w:val="center"/>
          </w:tcPr>
          <w:p w14:paraId="1193FEB6">
            <w:pPr>
              <w:jc w:val="center"/>
              <w:rPr>
                <w:rFonts w:hint="eastAsia" w:ascii="仿宋" w:hAnsi="仿宋" w:eastAsia="仿宋" w:cs="仿宋"/>
                <w:sz w:val="32"/>
                <w:szCs w:val="32"/>
              </w:rPr>
            </w:pPr>
          </w:p>
        </w:tc>
        <w:tc>
          <w:tcPr>
            <w:tcW w:w="984" w:type="pct"/>
            <w:gridSpan w:val="2"/>
            <w:vAlign w:val="center"/>
          </w:tcPr>
          <w:p w14:paraId="759F53AC">
            <w:pPr>
              <w:jc w:val="center"/>
              <w:rPr>
                <w:rFonts w:hint="eastAsia" w:ascii="仿宋" w:hAnsi="仿宋" w:eastAsia="仿宋" w:cs="仿宋"/>
                <w:sz w:val="32"/>
                <w:szCs w:val="32"/>
              </w:rPr>
            </w:pPr>
            <w:r>
              <w:rPr>
                <w:rFonts w:hint="eastAsia" w:ascii="仿宋" w:hAnsi="仿宋" w:eastAsia="仿宋" w:cs="仿宋"/>
                <w:sz w:val="32"/>
                <w:szCs w:val="32"/>
              </w:rPr>
              <w:t>备案编号</w:t>
            </w:r>
          </w:p>
        </w:tc>
        <w:tc>
          <w:tcPr>
            <w:tcW w:w="1608" w:type="pct"/>
            <w:vAlign w:val="center"/>
          </w:tcPr>
          <w:p w14:paraId="7C59D93A">
            <w:pPr>
              <w:jc w:val="center"/>
              <w:rPr>
                <w:rFonts w:hint="eastAsia" w:ascii="仿宋" w:hAnsi="仿宋" w:eastAsia="仿宋" w:cs="仿宋"/>
                <w:sz w:val="32"/>
                <w:szCs w:val="32"/>
              </w:rPr>
            </w:pPr>
          </w:p>
        </w:tc>
      </w:tr>
      <w:tr w14:paraId="7476B1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9" w:hRule="atLeast"/>
        </w:trPr>
        <w:tc>
          <w:tcPr>
            <w:tcW w:w="880" w:type="pct"/>
            <w:gridSpan w:val="2"/>
            <w:vAlign w:val="center"/>
          </w:tcPr>
          <w:p w14:paraId="0A29EFBB">
            <w:pPr>
              <w:jc w:val="center"/>
              <w:rPr>
                <w:rFonts w:hint="eastAsia" w:ascii="仿宋" w:hAnsi="仿宋" w:eastAsia="仿宋" w:cs="仿宋"/>
                <w:sz w:val="32"/>
                <w:szCs w:val="32"/>
              </w:rPr>
            </w:pPr>
            <w:r>
              <w:rPr>
                <w:rFonts w:hint="eastAsia" w:ascii="仿宋" w:hAnsi="仿宋" w:eastAsia="仿宋" w:cs="仿宋"/>
                <w:sz w:val="32"/>
                <w:szCs w:val="32"/>
              </w:rPr>
              <w:t>时间</w:t>
            </w:r>
          </w:p>
        </w:tc>
        <w:tc>
          <w:tcPr>
            <w:tcW w:w="1528" w:type="pct"/>
            <w:vAlign w:val="center"/>
          </w:tcPr>
          <w:p w14:paraId="05DE8C57">
            <w:pPr>
              <w:jc w:val="center"/>
              <w:rPr>
                <w:rFonts w:hint="eastAsia" w:ascii="仿宋" w:hAnsi="仿宋" w:eastAsia="仿宋" w:cs="仿宋"/>
                <w:sz w:val="32"/>
                <w:szCs w:val="32"/>
              </w:rPr>
            </w:pPr>
          </w:p>
        </w:tc>
        <w:tc>
          <w:tcPr>
            <w:tcW w:w="984" w:type="pct"/>
            <w:gridSpan w:val="2"/>
            <w:vAlign w:val="center"/>
          </w:tcPr>
          <w:p w14:paraId="45BA89F2">
            <w:pPr>
              <w:jc w:val="center"/>
              <w:rPr>
                <w:rFonts w:hint="eastAsia" w:ascii="仿宋" w:hAnsi="仿宋" w:eastAsia="仿宋" w:cs="仿宋"/>
                <w:sz w:val="32"/>
                <w:szCs w:val="32"/>
              </w:rPr>
            </w:pPr>
            <w:r>
              <w:rPr>
                <w:rFonts w:hint="eastAsia" w:ascii="仿宋" w:hAnsi="仿宋" w:eastAsia="仿宋" w:cs="仿宋"/>
                <w:sz w:val="32"/>
                <w:szCs w:val="32"/>
              </w:rPr>
              <w:t>出厂编号</w:t>
            </w:r>
          </w:p>
        </w:tc>
        <w:tc>
          <w:tcPr>
            <w:tcW w:w="1608" w:type="pct"/>
            <w:vAlign w:val="center"/>
          </w:tcPr>
          <w:p w14:paraId="204AE66D">
            <w:pPr>
              <w:jc w:val="center"/>
              <w:rPr>
                <w:rFonts w:hint="eastAsia" w:ascii="仿宋" w:hAnsi="仿宋" w:eastAsia="仿宋" w:cs="仿宋"/>
                <w:sz w:val="32"/>
                <w:szCs w:val="32"/>
              </w:rPr>
            </w:pPr>
          </w:p>
        </w:tc>
      </w:tr>
      <w:tr w14:paraId="34220E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17" w:hRule="atLeast"/>
        </w:trPr>
        <w:tc>
          <w:tcPr>
            <w:tcW w:w="2408" w:type="pct"/>
            <w:gridSpan w:val="3"/>
            <w:vAlign w:val="center"/>
          </w:tcPr>
          <w:p w14:paraId="0882580E">
            <w:pPr>
              <w:jc w:val="left"/>
              <w:rPr>
                <w:rFonts w:hint="eastAsia" w:ascii="仿宋" w:hAnsi="仿宋" w:eastAsia="仿宋" w:cs="仿宋"/>
                <w:sz w:val="32"/>
                <w:szCs w:val="32"/>
              </w:rPr>
            </w:pPr>
            <w:r>
              <w:rPr>
                <w:rFonts w:hint="eastAsia" w:ascii="仿宋" w:hAnsi="仿宋" w:eastAsia="仿宋" w:cs="仿宋"/>
                <w:sz w:val="32"/>
                <w:szCs w:val="32"/>
              </w:rPr>
              <w:t>出厂铭牌照片</w:t>
            </w:r>
          </w:p>
        </w:tc>
        <w:tc>
          <w:tcPr>
            <w:tcW w:w="2592" w:type="pct"/>
            <w:gridSpan w:val="3"/>
            <w:vAlign w:val="center"/>
          </w:tcPr>
          <w:p w14:paraId="0B78CB75">
            <w:pPr>
              <w:jc w:val="left"/>
              <w:rPr>
                <w:rFonts w:hint="eastAsia" w:ascii="仿宋" w:hAnsi="仿宋" w:eastAsia="仿宋" w:cs="仿宋"/>
                <w:sz w:val="32"/>
                <w:szCs w:val="32"/>
              </w:rPr>
            </w:pPr>
            <w:r>
              <w:rPr>
                <w:rFonts w:hint="eastAsia" w:ascii="仿宋" w:hAnsi="仿宋" w:eastAsia="仿宋" w:cs="仿宋"/>
                <w:sz w:val="32"/>
                <w:szCs w:val="32"/>
              </w:rPr>
              <w:t>备案证电子证照照片</w:t>
            </w:r>
          </w:p>
        </w:tc>
      </w:tr>
      <w:tr w14:paraId="4A7FF9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55" w:hRule="atLeast"/>
        </w:trPr>
        <w:tc>
          <w:tcPr>
            <w:tcW w:w="443" w:type="pct"/>
          </w:tcPr>
          <w:p w14:paraId="19833FE1">
            <w:pPr>
              <w:jc w:val="center"/>
              <w:rPr>
                <w:rFonts w:hint="eastAsia" w:ascii="仿宋" w:hAnsi="仿宋" w:eastAsia="仿宋" w:cs="仿宋"/>
                <w:sz w:val="32"/>
                <w:szCs w:val="32"/>
              </w:rPr>
            </w:pPr>
            <w:r>
              <w:rPr>
                <w:rFonts w:hint="eastAsia" w:ascii="仿宋" w:hAnsi="仿宋" w:eastAsia="仿宋" w:cs="仿宋"/>
                <w:sz w:val="32"/>
                <w:szCs w:val="32"/>
              </w:rPr>
              <w:t>使用</w:t>
            </w:r>
          </w:p>
          <w:p w14:paraId="5B366511">
            <w:pPr>
              <w:jc w:val="center"/>
              <w:rPr>
                <w:rFonts w:hint="eastAsia" w:ascii="仿宋" w:hAnsi="仿宋" w:eastAsia="仿宋" w:cs="仿宋"/>
                <w:sz w:val="32"/>
                <w:szCs w:val="32"/>
              </w:rPr>
            </w:pPr>
            <w:r>
              <w:rPr>
                <w:rFonts w:hint="eastAsia" w:ascii="仿宋" w:hAnsi="仿宋" w:eastAsia="仿宋" w:cs="仿宋"/>
                <w:sz w:val="32"/>
                <w:szCs w:val="32"/>
              </w:rPr>
              <w:t>单位</w:t>
            </w:r>
          </w:p>
          <w:p w14:paraId="50D01E35">
            <w:pPr>
              <w:jc w:val="center"/>
              <w:rPr>
                <w:rFonts w:hint="eastAsia" w:ascii="仿宋" w:hAnsi="仿宋" w:eastAsia="仿宋" w:cs="仿宋"/>
                <w:sz w:val="32"/>
                <w:szCs w:val="32"/>
              </w:rPr>
            </w:pPr>
            <w:r>
              <w:rPr>
                <w:rFonts w:hint="eastAsia" w:ascii="仿宋" w:hAnsi="仿宋" w:eastAsia="仿宋" w:cs="仿宋"/>
                <w:sz w:val="32"/>
                <w:szCs w:val="32"/>
              </w:rPr>
              <w:t>意见</w:t>
            </w:r>
          </w:p>
        </w:tc>
        <w:tc>
          <w:tcPr>
            <w:tcW w:w="1965" w:type="pct"/>
            <w:gridSpan w:val="2"/>
          </w:tcPr>
          <w:p w14:paraId="5B23B9B5">
            <w:pPr>
              <w:jc w:val="center"/>
              <w:rPr>
                <w:rFonts w:hint="eastAsia" w:ascii="仿宋" w:hAnsi="仿宋" w:eastAsia="仿宋" w:cs="仿宋"/>
                <w:sz w:val="32"/>
                <w:szCs w:val="32"/>
              </w:rPr>
            </w:pPr>
          </w:p>
          <w:p w14:paraId="04984886">
            <w:pPr>
              <w:jc w:val="center"/>
              <w:rPr>
                <w:rFonts w:hint="eastAsia" w:ascii="仿宋" w:hAnsi="仿宋" w:eastAsia="仿宋" w:cs="仿宋"/>
                <w:sz w:val="32"/>
                <w:szCs w:val="32"/>
              </w:rPr>
            </w:pPr>
          </w:p>
          <w:p w14:paraId="6122E224">
            <w:pPr>
              <w:jc w:val="center"/>
              <w:rPr>
                <w:rFonts w:hint="eastAsia" w:ascii="仿宋" w:hAnsi="仿宋" w:eastAsia="仿宋" w:cs="仿宋"/>
                <w:sz w:val="32"/>
                <w:szCs w:val="32"/>
              </w:rPr>
            </w:pPr>
          </w:p>
          <w:p w14:paraId="124A7864">
            <w:pPr>
              <w:jc w:val="center"/>
              <w:rPr>
                <w:rFonts w:hint="eastAsia" w:ascii="仿宋" w:hAnsi="仿宋" w:eastAsia="仿宋" w:cs="仿宋"/>
                <w:sz w:val="32"/>
                <w:szCs w:val="32"/>
              </w:rPr>
            </w:pPr>
            <w:r>
              <w:rPr>
                <w:rFonts w:hint="eastAsia" w:ascii="仿宋" w:hAnsi="仿宋" w:eastAsia="仿宋" w:cs="仿宋"/>
                <w:sz w:val="32"/>
                <w:szCs w:val="32"/>
              </w:rPr>
              <w:t xml:space="preserve">  签章：</w:t>
            </w:r>
          </w:p>
          <w:p w14:paraId="4DF94ABA">
            <w:pPr>
              <w:jc w:val="center"/>
              <w:rPr>
                <w:rFonts w:hint="eastAsia" w:ascii="仿宋" w:hAnsi="仿宋" w:eastAsia="仿宋" w:cs="仿宋"/>
                <w:sz w:val="32"/>
                <w:szCs w:val="32"/>
              </w:rPr>
            </w:pPr>
          </w:p>
          <w:p w14:paraId="6FB49676">
            <w:pPr>
              <w:jc w:val="center"/>
              <w:rPr>
                <w:rFonts w:hint="eastAsia" w:ascii="仿宋" w:hAnsi="仿宋" w:eastAsia="仿宋" w:cs="仿宋"/>
                <w:sz w:val="32"/>
                <w:szCs w:val="32"/>
              </w:rPr>
            </w:pPr>
            <w:r>
              <w:rPr>
                <w:rFonts w:hint="eastAsia" w:ascii="仿宋" w:hAnsi="仿宋" w:eastAsia="仿宋" w:cs="仿宋"/>
                <w:sz w:val="32"/>
                <w:szCs w:val="32"/>
              </w:rPr>
              <w:t xml:space="preserve">        年   月   日</w:t>
            </w:r>
          </w:p>
        </w:tc>
        <w:tc>
          <w:tcPr>
            <w:tcW w:w="524" w:type="pct"/>
          </w:tcPr>
          <w:p w14:paraId="7DFD2559">
            <w:pPr>
              <w:jc w:val="center"/>
              <w:rPr>
                <w:rFonts w:hint="eastAsia" w:ascii="仿宋" w:hAnsi="仿宋" w:eastAsia="仿宋" w:cs="仿宋"/>
                <w:sz w:val="32"/>
                <w:szCs w:val="32"/>
              </w:rPr>
            </w:pPr>
            <w:r>
              <w:rPr>
                <w:rFonts w:hint="eastAsia" w:ascii="仿宋" w:hAnsi="仿宋" w:eastAsia="仿宋" w:cs="仿宋"/>
                <w:sz w:val="32"/>
                <w:szCs w:val="32"/>
              </w:rPr>
              <w:t>监</w:t>
            </w:r>
          </w:p>
          <w:p w14:paraId="738ECA87">
            <w:pPr>
              <w:jc w:val="center"/>
              <w:rPr>
                <w:rFonts w:hint="eastAsia" w:ascii="仿宋" w:hAnsi="仿宋" w:eastAsia="仿宋" w:cs="仿宋"/>
                <w:sz w:val="32"/>
                <w:szCs w:val="32"/>
              </w:rPr>
            </w:pPr>
            <w:r>
              <w:rPr>
                <w:rFonts w:hint="eastAsia" w:ascii="仿宋" w:hAnsi="仿宋" w:eastAsia="仿宋" w:cs="仿宋"/>
                <w:sz w:val="32"/>
                <w:szCs w:val="32"/>
              </w:rPr>
              <w:t>理</w:t>
            </w:r>
          </w:p>
          <w:p w14:paraId="47FC9F58">
            <w:pPr>
              <w:jc w:val="center"/>
              <w:rPr>
                <w:rFonts w:hint="eastAsia" w:ascii="仿宋" w:hAnsi="仿宋" w:eastAsia="仿宋" w:cs="仿宋"/>
                <w:sz w:val="32"/>
                <w:szCs w:val="32"/>
              </w:rPr>
            </w:pPr>
            <w:r>
              <w:rPr>
                <w:rFonts w:hint="eastAsia" w:ascii="仿宋" w:hAnsi="仿宋" w:eastAsia="仿宋" w:cs="仿宋"/>
                <w:sz w:val="32"/>
                <w:szCs w:val="32"/>
              </w:rPr>
              <w:t>单</w:t>
            </w:r>
          </w:p>
          <w:p w14:paraId="4179C803">
            <w:pPr>
              <w:jc w:val="center"/>
              <w:rPr>
                <w:rFonts w:hint="eastAsia" w:ascii="仿宋" w:hAnsi="仿宋" w:eastAsia="仿宋" w:cs="仿宋"/>
                <w:sz w:val="32"/>
                <w:szCs w:val="32"/>
              </w:rPr>
            </w:pPr>
            <w:r>
              <w:rPr>
                <w:rFonts w:hint="eastAsia" w:ascii="仿宋" w:hAnsi="仿宋" w:eastAsia="仿宋" w:cs="仿宋"/>
                <w:sz w:val="32"/>
                <w:szCs w:val="32"/>
              </w:rPr>
              <w:t>位</w:t>
            </w:r>
          </w:p>
          <w:p w14:paraId="77FAFB25">
            <w:pPr>
              <w:jc w:val="center"/>
              <w:rPr>
                <w:rFonts w:hint="eastAsia" w:ascii="仿宋" w:hAnsi="仿宋" w:eastAsia="仿宋" w:cs="仿宋"/>
                <w:sz w:val="32"/>
                <w:szCs w:val="32"/>
              </w:rPr>
            </w:pPr>
            <w:r>
              <w:rPr>
                <w:rFonts w:hint="eastAsia" w:ascii="仿宋" w:hAnsi="仿宋" w:eastAsia="仿宋" w:cs="仿宋"/>
                <w:sz w:val="32"/>
                <w:szCs w:val="32"/>
              </w:rPr>
              <w:t>意</w:t>
            </w:r>
          </w:p>
          <w:p w14:paraId="7281B565">
            <w:pPr>
              <w:jc w:val="center"/>
              <w:rPr>
                <w:rFonts w:hint="eastAsia" w:ascii="仿宋" w:hAnsi="仿宋" w:eastAsia="仿宋" w:cs="仿宋"/>
                <w:sz w:val="32"/>
                <w:szCs w:val="32"/>
              </w:rPr>
            </w:pPr>
            <w:r>
              <w:rPr>
                <w:rFonts w:hint="eastAsia" w:ascii="仿宋" w:hAnsi="仿宋" w:eastAsia="仿宋" w:cs="仿宋"/>
                <w:sz w:val="32"/>
                <w:szCs w:val="32"/>
              </w:rPr>
              <w:t>见</w:t>
            </w:r>
          </w:p>
        </w:tc>
        <w:tc>
          <w:tcPr>
            <w:tcW w:w="2068" w:type="pct"/>
            <w:gridSpan w:val="2"/>
          </w:tcPr>
          <w:p w14:paraId="7518E6BD">
            <w:pPr>
              <w:jc w:val="center"/>
              <w:rPr>
                <w:rFonts w:hint="eastAsia" w:ascii="仿宋" w:hAnsi="仿宋" w:eastAsia="仿宋" w:cs="仿宋"/>
                <w:sz w:val="32"/>
                <w:szCs w:val="32"/>
              </w:rPr>
            </w:pPr>
          </w:p>
          <w:p w14:paraId="5758D506">
            <w:pPr>
              <w:jc w:val="center"/>
              <w:rPr>
                <w:rFonts w:hint="eastAsia" w:ascii="仿宋" w:hAnsi="仿宋" w:eastAsia="仿宋" w:cs="仿宋"/>
                <w:sz w:val="32"/>
                <w:szCs w:val="32"/>
              </w:rPr>
            </w:pPr>
          </w:p>
          <w:p w14:paraId="05F12478">
            <w:pPr>
              <w:jc w:val="center"/>
              <w:rPr>
                <w:rFonts w:hint="eastAsia" w:ascii="仿宋" w:hAnsi="仿宋" w:eastAsia="仿宋" w:cs="仿宋"/>
                <w:sz w:val="32"/>
                <w:szCs w:val="32"/>
              </w:rPr>
            </w:pPr>
          </w:p>
          <w:p w14:paraId="0F10C88B">
            <w:pPr>
              <w:jc w:val="center"/>
              <w:rPr>
                <w:rFonts w:hint="eastAsia" w:ascii="仿宋" w:hAnsi="仿宋" w:eastAsia="仿宋" w:cs="仿宋"/>
                <w:sz w:val="32"/>
                <w:szCs w:val="32"/>
              </w:rPr>
            </w:pPr>
            <w:r>
              <w:rPr>
                <w:rFonts w:hint="eastAsia" w:ascii="仿宋" w:hAnsi="仿宋" w:eastAsia="仿宋" w:cs="仿宋"/>
                <w:sz w:val="32"/>
                <w:szCs w:val="32"/>
              </w:rPr>
              <w:t xml:space="preserve">  签章：</w:t>
            </w:r>
          </w:p>
          <w:p w14:paraId="11EA31C6">
            <w:pPr>
              <w:jc w:val="center"/>
              <w:rPr>
                <w:rFonts w:hint="eastAsia" w:ascii="仿宋" w:hAnsi="仿宋" w:eastAsia="仿宋" w:cs="仿宋"/>
                <w:sz w:val="32"/>
                <w:szCs w:val="32"/>
              </w:rPr>
            </w:pPr>
          </w:p>
          <w:p w14:paraId="60843206">
            <w:pPr>
              <w:jc w:val="center"/>
              <w:rPr>
                <w:rFonts w:hint="eastAsia" w:ascii="仿宋" w:hAnsi="仿宋" w:eastAsia="仿宋" w:cs="仿宋"/>
                <w:sz w:val="32"/>
                <w:szCs w:val="32"/>
              </w:rPr>
            </w:pPr>
            <w:r>
              <w:rPr>
                <w:rFonts w:hint="eastAsia" w:ascii="仿宋" w:hAnsi="仿宋" w:eastAsia="仿宋" w:cs="仿宋"/>
                <w:sz w:val="32"/>
                <w:szCs w:val="32"/>
              </w:rPr>
              <w:t xml:space="preserve">        年   月   日</w:t>
            </w:r>
          </w:p>
        </w:tc>
      </w:tr>
    </w:tbl>
    <w:p w14:paraId="2A9D3855">
      <w:pPr>
        <w:jc w:val="center"/>
        <w:rPr>
          <w:rFonts w:hint="eastAsia" w:ascii="仿宋" w:hAnsi="仿宋" w:eastAsia="仿宋" w:cs="仿宋"/>
          <w:sz w:val="32"/>
          <w:szCs w:val="32"/>
          <w:lang w:eastAsia="zh"/>
        </w:rPr>
      </w:pPr>
      <w:r>
        <w:rPr>
          <w:rFonts w:hint="eastAsia" w:ascii="仿宋" w:hAnsi="仿宋" w:eastAsia="仿宋" w:cs="仿宋"/>
          <w:sz w:val="32"/>
          <w:szCs w:val="32"/>
          <w:lang w:eastAsia="zh"/>
        </w:rPr>
        <w:t>.</w:t>
      </w:r>
    </w:p>
    <w:p w14:paraId="6C86D8D6">
      <w:pPr>
        <w:jc w:val="left"/>
        <w:rPr>
          <w:rFonts w:hint="eastAsia" w:ascii="仿宋" w:hAnsi="仿宋" w:eastAsia="仿宋" w:cs="仿宋"/>
          <w:sz w:val="32"/>
          <w:szCs w:val="32"/>
          <w:lang w:eastAsia="zh"/>
        </w:rPr>
      </w:pPr>
      <w:r>
        <w:rPr>
          <w:rFonts w:hint="eastAsia" w:ascii="仿宋" w:hAnsi="仿宋" w:eastAsia="仿宋" w:cs="仿宋"/>
          <w:sz w:val="32"/>
          <w:szCs w:val="32"/>
          <w:lang w:eastAsia="zh"/>
        </w:rPr>
        <w:br w:type="page"/>
      </w:r>
    </w:p>
    <w:p w14:paraId="0C398048">
      <w:pPr>
        <w:spacing w:after="120" w:afterLines="50"/>
        <w:jc w:val="center"/>
        <w:rPr>
          <w:rFonts w:hint="eastAsia" w:ascii="仿宋" w:hAnsi="仿宋" w:eastAsia="仿宋" w:cs="仿宋"/>
          <w:b/>
          <w:bCs/>
          <w:sz w:val="32"/>
          <w:szCs w:val="32"/>
        </w:rPr>
      </w:pPr>
      <w:r>
        <w:rPr>
          <w:rFonts w:hint="eastAsia" w:ascii="仿宋" w:hAnsi="仿宋" w:eastAsia="仿宋" w:cs="仿宋"/>
          <w:b/>
          <w:bCs/>
          <w:sz w:val="32"/>
          <w:szCs w:val="32"/>
        </w:rPr>
        <w:t>建筑起重机械检测监理旁站记录表</w:t>
      </w:r>
    </w:p>
    <w:tbl>
      <w:tblPr>
        <w:tblStyle w:val="13"/>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58"/>
        <w:gridCol w:w="2763"/>
        <w:gridCol w:w="839"/>
        <w:gridCol w:w="1051"/>
        <w:gridCol w:w="3249"/>
      </w:tblGrid>
      <w:tr w14:paraId="362739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2" w:hRule="atLeast"/>
        </w:trPr>
        <w:tc>
          <w:tcPr>
            <w:tcW w:w="639" w:type="pct"/>
            <w:vAlign w:val="center"/>
          </w:tcPr>
          <w:p w14:paraId="14FB0B6C">
            <w:pPr>
              <w:jc w:val="center"/>
              <w:rPr>
                <w:rFonts w:hint="eastAsia" w:ascii="仿宋" w:hAnsi="仿宋" w:eastAsia="仿宋" w:cs="仿宋"/>
                <w:sz w:val="32"/>
                <w:szCs w:val="32"/>
              </w:rPr>
            </w:pPr>
            <w:r>
              <w:rPr>
                <w:rFonts w:hint="eastAsia" w:ascii="仿宋" w:hAnsi="仿宋" w:eastAsia="仿宋" w:cs="仿宋"/>
                <w:sz w:val="32"/>
                <w:szCs w:val="32"/>
              </w:rPr>
              <w:t>项目名称</w:t>
            </w:r>
          </w:p>
        </w:tc>
        <w:tc>
          <w:tcPr>
            <w:tcW w:w="1525" w:type="pct"/>
            <w:vAlign w:val="center"/>
          </w:tcPr>
          <w:p w14:paraId="7DF1E9B9">
            <w:pPr>
              <w:jc w:val="center"/>
              <w:rPr>
                <w:rFonts w:hint="eastAsia" w:ascii="仿宋" w:hAnsi="仿宋" w:eastAsia="仿宋" w:cs="仿宋"/>
                <w:sz w:val="32"/>
                <w:szCs w:val="32"/>
              </w:rPr>
            </w:pPr>
          </w:p>
        </w:tc>
        <w:tc>
          <w:tcPr>
            <w:tcW w:w="1043" w:type="pct"/>
            <w:gridSpan w:val="2"/>
            <w:vAlign w:val="center"/>
          </w:tcPr>
          <w:p w14:paraId="44A066F4">
            <w:pPr>
              <w:jc w:val="center"/>
              <w:rPr>
                <w:rFonts w:hint="eastAsia" w:ascii="仿宋" w:hAnsi="仿宋" w:eastAsia="仿宋" w:cs="仿宋"/>
                <w:sz w:val="32"/>
                <w:szCs w:val="32"/>
              </w:rPr>
            </w:pPr>
            <w:r>
              <w:rPr>
                <w:rFonts w:hint="eastAsia" w:ascii="仿宋" w:hAnsi="仿宋" w:eastAsia="仿宋" w:cs="仿宋"/>
                <w:sz w:val="32"/>
                <w:szCs w:val="32"/>
              </w:rPr>
              <w:t>设备类型(型号)</w:t>
            </w:r>
          </w:p>
        </w:tc>
        <w:tc>
          <w:tcPr>
            <w:tcW w:w="1793" w:type="pct"/>
            <w:vAlign w:val="center"/>
          </w:tcPr>
          <w:p w14:paraId="589A6526">
            <w:pPr>
              <w:jc w:val="center"/>
              <w:rPr>
                <w:rFonts w:hint="eastAsia" w:ascii="仿宋" w:hAnsi="仿宋" w:eastAsia="仿宋" w:cs="仿宋"/>
                <w:sz w:val="32"/>
                <w:szCs w:val="32"/>
              </w:rPr>
            </w:pPr>
          </w:p>
        </w:tc>
      </w:tr>
      <w:tr w14:paraId="65CCF4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5" w:hRule="atLeast"/>
        </w:trPr>
        <w:tc>
          <w:tcPr>
            <w:tcW w:w="639" w:type="pct"/>
            <w:vAlign w:val="center"/>
          </w:tcPr>
          <w:p w14:paraId="19DE3CA9">
            <w:pPr>
              <w:jc w:val="center"/>
              <w:rPr>
                <w:rFonts w:hint="eastAsia" w:ascii="仿宋" w:hAnsi="仿宋" w:eastAsia="仿宋" w:cs="仿宋"/>
                <w:sz w:val="32"/>
                <w:szCs w:val="32"/>
              </w:rPr>
            </w:pPr>
            <w:r>
              <w:rPr>
                <w:rFonts w:hint="eastAsia" w:ascii="仿宋" w:hAnsi="仿宋" w:eastAsia="仿宋" w:cs="仿宋"/>
                <w:sz w:val="32"/>
                <w:szCs w:val="32"/>
              </w:rPr>
              <w:t>项目地址</w:t>
            </w:r>
          </w:p>
        </w:tc>
        <w:tc>
          <w:tcPr>
            <w:tcW w:w="1525" w:type="pct"/>
            <w:vAlign w:val="center"/>
          </w:tcPr>
          <w:p w14:paraId="7DC9D9AF">
            <w:pPr>
              <w:jc w:val="center"/>
              <w:rPr>
                <w:rFonts w:hint="eastAsia" w:ascii="仿宋" w:hAnsi="仿宋" w:eastAsia="仿宋" w:cs="仿宋"/>
                <w:sz w:val="32"/>
                <w:szCs w:val="32"/>
              </w:rPr>
            </w:pPr>
          </w:p>
        </w:tc>
        <w:tc>
          <w:tcPr>
            <w:tcW w:w="1043" w:type="pct"/>
            <w:gridSpan w:val="2"/>
            <w:vAlign w:val="center"/>
          </w:tcPr>
          <w:p w14:paraId="43B11AEA">
            <w:pPr>
              <w:jc w:val="center"/>
              <w:rPr>
                <w:rFonts w:hint="eastAsia" w:ascii="仿宋" w:hAnsi="仿宋" w:eastAsia="仿宋" w:cs="仿宋"/>
                <w:sz w:val="32"/>
                <w:szCs w:val="32"/>
              </w:rPr>
            </w:pPr>
            <w:r>
              <w:rPr>
                <w:rFonts w:hint="eastAsia" w:ascii="仿宋" w:hAnsi="仿宋" w:eastAsia="仿宋" w:cs="仿宋"/>
                <w:sz w:val="32"/>
                <w:szCs w:val="32"/>
              </w:rPr>
              <w:t>备案证号</w:t>
            </w:r>
          </w:p>
        </w:tc>
        <w:tc>
          <w:tcPr>
            <w:tcW w:w="1793" w:type="pct"/>
            <w:vAlign w:val="center"/>
          </w:tcPr>
          <w:p w14:paraId="7C626516">
            <w:pPr>
              <w:jc w:val="center"/>
              <w:rPr>
                <w:rFonts w:hint="eastAsia" w:ascii="仿宋" w:hAnsi="仿宋" w:eastAsia="仿宋" w:cs="仿宋"/>
                <w:sz w:val="32"/>
                <w:szCs w:val="32"/>
              </w:rPr>
            </w:pPr>
          </w:p>
        </w:tc>
      </w:tr>
      <w:tr w14:paraId="4BF872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7" w:hRule="atLeast"/>
        </w:trPr>
        <w:tc>
          <w:tcPr>
            <w:tcW w:w="639" w:type="pct"/>
            <w:vAlign w:val="center"/>
          </w:tcPr>
          <w:p w14:paraId="02C4283B">
            <w:pPr>
              <w:jc w:val="center"/>
              <w:rPr>
                <w:rFonts w:hint="eastAsia" w:ascii="仿宋" w:hAnsi="仿宋" w:eastAsia="仿宋" w:cs="仿宋"/>
                <w:sz w:val="32"/>
                <w:szCs w:val="32"/>
              </w:rPr>
            </w:pPr>
            <w:r>
              <w:rPr>
                <w:rFonts w:hint="eastAsia" w:ascii="仿宋" w:hAnsi="仿宋" w:eastAsia="仿宋" w:cs="仿宋"/>
                <w:sz w:val="32"/>
                <w:szCs w:val="32"/>
              </w:rPr>
              <w:t>检测单位</w:t>
            </w:r>
          </w:p>
        </w:tc>
        <w:tc>
          <w:tcPr>
            <w:tcW w:w="1525" w:type="pct"/>
            <w:vAlign w:val="center"/>
          </w:tcPr>
          <w:p w14:paraId="3A480A25">
            <w:pPr>
              <w:jc w:val="center"/>
              <w:rPr>
                <w:rFonts w:hint="eastAsia" w:ascii="仿宋" w:hAnsi="仿宋" w:eastAsia="仿宋" w:cs="仿宋"/>
                <w:sz w:val="32"/>
                <w:szCs w:val="32"/>
              </w:rPr>
            </w:pPr>
          </w:p>
        </w:tc>
        <w:tc>
          <w:tcPr>
            <w:tcW w:w="1043" w:type="pct"/>
            <w:gridSpan w:val="2"/>
            <w:vAlign w:val="center"/>
          </w:tcPr>
          <w:p w14:paraId="78B9F572">
            <w:pPr>
              <w:jc w:val="center"/>
              <w:rPr>
                <w:rFonts w:hint="eastAsia" w:ascii="仿宋" w:hAnsi="仿宋" w:eastAsia="仿宋" w:cs="仿宋"/>
                <w:sz w:val="32"/>
                <w:szCs w:val="32"/>
              </w:rPr>
            </w:pPr>
            <w:r>
              <w:rPr>
                <w:rFonts w:hint="eastAsia" w:ascii="仿宋" w:hAnsi="仿宋" w:eastAsia="仿宋" w:cs="仿宋"/>
                <w:sz w:val="32"/>
                <w:szCs w:val="32"/>
              </w:rPr>
              <w:t>出厂编号</w:t>
            </w:r>
          </w:p>
        </w:tc>
        <w:tc>
          <w:tcPr>
            <w:tcW w:w="1793" w:type="pct"/>
            <w:vAlign w:val="center"/>
          </w:tcPr>
          <w:p w14:paraId="110A1C9D">
            <w:pPr>
              <w:jc w:val="center"/>
              <w:rPr>
                <w:rFonts w:hint="eastAsia" w:ascii="仿宋" w:hAnsi="仿宋" w:eastAsia="仿宋" w:cs="仿宋"/>
                <w:sz w:val="32"/>
                <w:szCs w:val="32"/>
              </w:rPr>
            </w:pPr>
          </w:p>
        </w:tc>
      </w:tr>
      <w:tr w14:paraId="6F27EC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1" w:hRule="atLeast"/>
        </w:trPr>
        <w:tc>
          <w:tcPr>
            <w:tcW w:w="639" w:type="pct"/>
            <w:vAlign w:val="center"/>
          </w:tcPr>
          <w:p w14:paraId="1558EC0E">
            <w:pPr>
              <w:jc w:val="center"/>
              <w:rPr>
                <w:rFonts w:hint="eastAsia" w:ascii="仿宋" w:hAnsi="仿宋" w:eastAsia="仿宋" w:cs="仿宋"/>
                <w:sz w:val="32"/>
                <w:szCs w:val="32"/>
              </w:rPr>
            </w:pPr>
            <w:r>
              <w:rPr>
                <w:rFonts w:hint="eastAsia" w:ascii="仿宋" w:hAnsi="仿宋" w:eastAsia="仿宋" w:cs="仿宋"/>
                <w:sz w:val="32"/>
                <w:szCs w:val="32"/>
              </w:rPr>
              <w:t>检测人员</w:t>
            </w:r>
          </w:p>
        </w:tc>
        <w:tc>
          <w:tcPr>
            <w:tcW w:w="1525" w:type="pct"/>
            <w:vAlign w:val="center"/>
          </w:tcPr>
          <w:p w14:paraId="0F6496CD">
            <w:pPr>
              <w:jc w:val="center"/>
              <w:rPr>
                <w:rFonts w:hint="eastAsia" w:ascii="仿宋" w:hAnsi="仿宋" w:eastAsia="仿宋" w:cs="仿宋"/>
                <w:sz w:val="32"/>
                <w:szCs w:val="32"/>
              </w:rPr>
            </w:pPr>
          </w:p>
        </w:tc>
        <w:tc>
          <w:tcPr>
            <w:tcW w:w="1043" w:type="pct"/>
            <w:gridSpan w:val="2"/>
            <w:vAlign w:val="center"/>
          </w:tcPr>
          <w:p w14:paraId="20F9F56A">
            <w:pPr>
              <w:jc w:val="center"/>
              <w:rPr>
                <w:rFonts w:hint="eastAsia" w:ascii="仿宋" w:hAnsi="仿宋" w:eastAsia="仿宋" w:cs="仿宋"/>
                <w:sz w:val="32"/>
                <w:szCs w:val="32"/>
              </w:rPr>
            </w:pPr>
            <w:r>
              <w:rPr>
                <w:rFonts w:hint="eastAsia" w:ascii="仿宋" w:hAnsi="仿宋" w:eastAsia="仿宋" w:cs="仿宋"/>
                <w:sz w:val="32"/>
                <w:szCs w:val="32"/>
              </w:rPr>
              <w:t>检测起止时间</w:t>
            </w:r>
          </w:p>
        </w:tc>
        <w:tc>
          <w:tcPr>
            <w:tcW w:w="1793" w:type="pct"/>
            <w:vAlign w:val="center"/>
          </w:tcPr>
          <w:p w14:paraId="3048AD2A">
            <w:pPr>
              <w:jc w:val="center"/>
              <w:rPr>
                <w:rFonts w:hint="eastAsia" w:ascii="仿宋" w:hAnsi="仿宋" w:eastAsia="仿宋" w:cs="仿宋"/>
                <w:sz w:val="32"/>
                <w:szCs w:val="32"/>
              </w:rPr>
            </w:pPr>
            <w:r>
              <w:rPr>
                <w:rFonts w:hint="eastAsia" w:ascii="仿宋" w:hAnsi="仿宋" w:eastAsia="仿宋" w:cs="仿宋"/>
                <w:sz w:val="32"/>
                <w:szCs w:val="32"/>
              </w:rPr>
              <w:t>至</w:t>
            </w:r>
          </w:p>
        </w:tc>
      </w:tr>
      <w:tr w14:paraId="71CD04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84" w:hRule="atLeast"/>
        </w:trPr>
        <w:tc>
          <w:tcPr>
            <w:tcW w:w="639" w:type="pct"/>
            <w:vAlign w:val="center"/>
          </w:tcPr>
          <w:p w14:paraId="69B9945E">
            <w:pPr>
              <w:jc w:val="center"/>
              <w:rPr>
                <w:rFonts w:hint="eastAsia" w:ascii="仿宋" w:hAnsi="仿宋" w:eastAsia="仿宋" w:cs="仿宋"/>
                <w:sz w:val="32"/>
                <w:szCs w:val="32"/>
              </w:rPr>
            </w:pPr>
            <w:r>
              <w:rPr>
                <w:rFonts w:hint="eastAsia" w:ascii="仿宋" w:hAnsi="仿宋" w:eastAsia="仿宋" w:cs="仿宋"/>
                <w:sz w:val="32"/>
                <w:szCs w:val="32"/>
              </w:rPr>
              <w:t>检测</w:t>
            </w:r>
          </w:p>
          <w:p w14:paraId="0F7DCA9E">
            <w:pPr>
              <w:jc w:val="center"/>
              <w:rPr>
                <w:rFonts w:hint="eastAsia" w:ascii="仿宋" w:hAnsi="仿宋" w:eastAsia="仿宋" w:cs="仿宋"/>
                <w:sz w:val="32"/>
                <w:szCs w:val="32"/>
              </w:rPr>
            </w:pPr>
            <w:r>
              <w:rPr>
                <w:rFonts w:hint="eastAsia" w:ascii="仿宋" w:hAnsi="仿宋" w:eastAsia="仿宋" w:cs="仿宋"/>
                <w:sz w:val="32"/>
                <w:szCs w:val="32"/>
              </w:rPr>
              <w:t>项目</w:t>
            </w:r>
          </w:p>
          <w:p w14:paraId="67D2DB86">
            <w:pPr>
              <w:jc w:val="center"/>
              <w:rPr>
                <w:rFonts w:hint="eastAsia" w:ascii="仿宋" w:hAnsi="仿宋" w:eastAsia="仿宋" w:cs="仿宋"/>
                <w:sz w:val="32"/>
                <w:szCs w:val="32"/>
              </w:rPr>
            </w:pPr>
            <w:r>
              <w:rPr>
                <w:rFonts w:hint="eastAsia" w:ascii="仿宋" w:hAnsi="仿宋" w:eastAsia="仿宋" w:cs="仿宋"/>
                <w:sz w:val="32"/>
                <w:szCs w:val="32"/>
              </w:rPr>
              <w:t>内容</w:t>
            </w:r>
          </w:p>
        </w:tc>
        <w:tc>
          <w:tcPr>
            <w:tcW w:w="4361" w:type="pct"/>
            <w:gridSpan w:val="4"/>
            <w:vAlign w:val="center"/>
          </w:tcPr>
          <w:p w14:paraId="1F3C9280">
            <w:pPr>
              <w:jc w:val="center"/>
              <w:rPr>
                <w:rFonts w:hint="eastAsia" w:ascii="仿宋" w:hAnsi="仿宋" w:eastAsia="仿宋" w:cs="仿宋"/>
                <w:sz w:val="32"/>
                <w:szCs w:val="32"/>
              </w:rPr>
            </w:pPr>
          </w:p>
        </w:tc>
      </w:tr>
      <w:tr w14:paraId="3540DE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5" w:hRule="atLeast"/>
        </w:trPr>
        <w:tc>
          <w:tcPr>
            <w:tcW w:w="639" w:type="pct"/>
            <w:vAlign w:val="center"/>
          </w:tcPr>
          <w:p w14:paraId="613D1CAF">
            <w:pPr>
              <w:jc w:val="center"/>
              <w:rPr>
                <w:rFonts w:hint="eastAsia" w:ascii="仿宋" w:hAnsi="仿宋" w:eastAsia="仿宋" w:cs="仿宋"/>
                <w:sz w:val="32"/>
                <w:szCs w:val="32"/>
              </w:rPr>
            </w:pPr>
            <w:r>
              <w:rPr>
                <w:rFonts w:hint="eastAsia" w:ascii="仿宋" w:hAnsi="仿宋" w:eastAsia="仿宋" w:cs="仿宋"/>
                <w:sz w:val="32"/>
                <w:szCs w:val="32"/>
              </w:rPr>
              <w:t>检测</w:t>
            </w:r>
          </w:p>
          <w:p w14:paraId="0082500D">
            <w:pPr>
              <w:jc w:val="center"/>
              <w:rPr>
                <w:rFonts w:hint="eastAsia" w:ascii="仿宋" w:hAnsi="仿宋" w:eastAsia="仿宋" w:cs="仿宋"/>
                <w:sz w:val="32"/>
                <w:szCs w:val="32"/>
              </w:rPr>
            </w:pPr>
            <w:r>
              <w:rPr>
                <w:rFonts w:hint="eastAsia" w:ascii="仿宋" w:hAnsi="仿宋" w:eastAsia="仿宋" w:cs="仿宋"/>
                <w:sz w:val="32"/>
                <w:szCs w:val="32"/>
              </w:rPr>
              <w:t>单位</w:t>
            </w:r>
          </w:p>
          <w:p w14:paraId="2245BA79">
            <w:pPr>
              <w:jc w:val="center"/>
              <w:rPr>
                <w:rFonts w:hint="eastAsia" w:ascii="仿宋" w:hAnsi="仿宋" w:eastAsia="仿宋" w:cs="仿宋"/>
                <w:sz w:val="32"/>
                <w:szCs w:val="32"/>
              </w:rPr>
            </w:pPr>
            <w:r>
              <w:rPr>
                <w:rFonts w:hint="eastAsia" w:ascii="仿宋" w:hAnsi="仿宋" w:eastAsia="仿宋" w:cs="仿宋"/>
                <w:sz w:val="32"/>
                <w:szCs w:val="32"/>
              </w:rPr>
              <w:t>现场</w:t>
            </w:r>
          </w:p>
          <w:p w14:paraId="680F6CD4">
            <w:pPr>
              <w:jc w:val="center"/>
              <w:rPr>
                <w:rFonts w:hint="eastAsia" w:ascii="仿宋" w:hAnsi="仿宋" w:eastAsia="仿宋" w:cs="仿宋"/>
                <w:sz w:val="32"/>
                <w:szCs w:val="32"/>
              </w:rPr>
            </w:pPr>
            <w:r>
              <w:rPr>
                <w:rFonts w:hint="eastAsia" w:ascii="仿宋" w:hAnsi="仿宋" w:eastAsia="仿宋" w:cs="仿宋"/>
                <w:sz w:val="32"/>
                <w:szCs w:val="32"/>
              </w:rPr>
              <w:t>检测</w:t>
            </w:r>
          </w:p>
          <w:p w14:paraId="32CEE130">
            <w:pPr>
              <w:jc w:val="center"/>
              <w:rPr>
                <w:rFonts w:hint="eastAsia" w:ascii="仿宋" w:hAnsi="仿宋" w:eastAsia="仿宋" w:cs="仿宋"/>
                <w:sz w:val="32"/>
                <w:szCs w:val="32"/>
              </w:rPr>
            </w:pPr>
            <w:r>
              <w:rPr>
                <w:rFonts w:hint="eastAsia" w:ascii="仿宋" w:hAnsi="仿宋" w:eastAsia="仿宋" w:cs="仿宋"/>
                <w:sz w:val="32"/>
                <w:szCs w:val="32"/>
              </w:rPr>
              <w:t>照片</w:t>
            </w:r>
          </w:p>
        </w:tc>
        <w:tc>
          <w:tcPr>
            <w:tcW w:w="1988" w:type="pct"/>
            <w:gridSpan w:val="2"/>
            <w:vAlign w:val="center"/>
          </w:tcPr>
          <w:p w14:paraId="45A1BA44">
            <w:pPr>
              <w:jc w:val="center"/>
              <w:rPr>
                <w:rFonts w:hint="eastAsia" w:ascii="仿宋" w:hAnsi="仿宋" w:eastAsia="仿宋" w:cs="仿宋"/>
                <w:sz w:val="32"/>
                <w:szCs w:val="32"/>
              </w:rPr>
            </w:pPr>
            <w:r>
              <w:rPr>
                <w:rFonts w:hint="eastAsia" w:ascii="仿宋" w:hAnsi="仿宋" w:eastAsia="仿宋" w:cs="仿宋"/>
                <w:sz w:val="32"/>
                <w:szCs w:val="32"/>
              </w:rPr>
              <w:t>照片</w:t>
            </w:r>
          </w:p>
        </w:tc>
        <w:tc>
          <w:tcPr>
            <w:tcW w:w="2373" w:type="pct"/>
            <w:gridSpan w:val="2"/>
            <w:vAlign w:val="center"/>
          </w:tcPr>
          <w:p w14:paraId="687395A6">
            <w:pPr>
              <w:jc w:val="center"/>
              <w:rPr>
                <w:rFonts w:hint="eastAsia" w:ascii="仿宋" w:hAnsi="仿宋" w:eastAsia="仿宋" w:cs="仿宋"/>
                <w:sz w:val="32"/>
                <w:szCs w:val="32"/>
              </w:rPr>
            </w:pPr>
            <w:r>
              <w:rPr>
                <w:rFonts w:hint="eastAsia" w:ascii="仿宋" w:hAnsi="仿宋" w:eastAsia="仿宋" w:cs="仿宋"/>
                <w:sz w:val="32"/>
                <w:szCs w:val="32"/>
              </w:rPr>
              <w:t>照片</w:t>
            </w:r>
          </w:p>
        </w:tc>
      </w:tr>
      <w:tr w14:paraId="7143BA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76" w:hRule="atLeast"/>
        </w:trPr>
        <w:tc>
          <w:tcPr>
            <w:tcW w:w="639" w:type="pct"/>
            <w:vAlign w:val="center"/>
          </w:tcPr>
          <w:p w14:paraId="14940713">
            <w:pPr>
              <w:jc w:val="center"/>
              <w:rPr>
                <w:rFonts w:hint="eastAsia" w:ascii="仿宋" w:hAnsi="仿宋" w:eastAsia="仿宋" w:cs="仿宋"/>
                <w:sz w:val="32"/>
                <w:szCs w:val="32"/>
              </w:rPr>
            </w:pPr>
            <w:r>
              <w:rPr>
                <w:rFonts w:hint="eastAsia" w:ascii="仿宋" w:hAnsi="仿宋" w:eastAsia="仿宋" w:cs="仿宋"/>
                <w:sz w:val="32"/>
                <w:szCs w:val="32"/>
              </w:rPr>
              <w:t>监理</w:t>
            </w:r>
          </w:p>
          <w:p w14:paraId="0DE00FAA">
            <w:pPr>
              <w:jc w:val="center"/>
              <w:rPr>
                <w:rFonts w:hint="eastAsia" w:ascii="仿宋" w:hAnsi="仿宋" w:eastAsia="仿宋" w:cs="仿宋"/>
                <w:sz w:val="32"/>
                <w:szCs w:val="32"/>
              </w:rPr>
            </w:pPr>
            <w:r>
              <w:rPr>
                <w:rFonts w:hint="eastAsia" w:ascii="仿宋" w:hAnsi="仿宋" w:eastAsia="仿宋" w:cs="仿宋"/>
                <w:sz w:val="32"/>
                <w:szCs w:val="32"/>
              </w:rPr>
              <w:t>旁站</w:t>
            </w:r>
          </w:p>
          <w:p w14:paraId="67C5A33B">
            <w:pPr>
              <w:jc w:val="center"/>
              <w:rPr>
                <w:rFonts w:hint="eastAsia" w:ascii="仿宋" w:hAnsi="仿宋" w:eastAsia="仿宋" w:cs="仿宋"/>
                <w:sz w:val="32"/>
                <w:szCs w:val="32"/>
              </w:rPr>
            </w:pPr>
            <w:r>
              <w:rPr>
                <w:rFonts w:hint="eastAsia" w:ascii="仿宋" w:hAnsi="仿宋" w:eastAsia="仿宋" w:cs="仿宋"/>
                <w:sz w:val="32"/>
                <w:szCs w:val="32"/>
              </w:rPr>
              <w:t>意见</w:t>
            </w:r>
          </w:p>
        </w:tc>
        <w:tc>
          <w:tcPr>
            <w:tcW w:w="1988" w:type="pct"/>
            <w:gridSpan w:val="2"/>
            <w:vAlign w:val="center"/>
          </w:tcPr>
          <w:p w14:paraId="2413EA4C">
            <w:pPr>
              <w:jc w:val="center"/>
              <w:rPr>
                <w:rFonts w:hint="eastAsia" w:ascii="仿宋" w:hAnsi="仿宋" w:eastAsia="仿宋" w:cs="仿宋"/>
                <w:sz w:val="32"/>
                <w:szCs w:val="32"/>
              </w:rPr>
            </w:pPr>
          </w:p>
          <w:p w14:paraId="2B10339D">
            <w:pPr>
              <w:jc w:val="center"/>
              <w:rPr>
                <w:rFonts w:hint="eastAsia" w:ascii="仿宋" w:hAnsi="仿宋" w:eastAsia="仿宋" w:cs="仿宋"/>
                <w:sz w:val="32"/>
                <w:szCs w:val="32"/>
              </w:rPr>
            </w:pPr>
          </w:p>
          <w:p w14:paraId="2798C4E2">
            <w:pPr>
              <w:jc w:val="center"/>
              <w:rPr>
                <w:rFonts w:hint="eastAsia" w:ascii="仿宋" w:hAnsi="仿宋" w:eastAsia="仿宋" w:cs="仿宋"/>
                <w:sz w:val="32"/>
                <w:szCs w:val="32"/>
              </w:rPr>
            </w:pPr>
          </w:p>
          <w:p w14:paraId="2AC5EA72">
            <w:pPr>
              <w:jc w:val="center"/>
              <w:rPr>
                <w:rFonts w:hint="eastAsia" w:ascii="仿宋" w:hAnsi="仿宋" w:eastAsia="仿宋" w:cs="仿宋"/>
                <w:sz w:val="32"/>
                <w:szCs w:val="32"/>
              </w:rPr>
            </w:pPr>
            <w:r>
              <w:rPr>
                <w:rFonts w:hint="eastAsia" w:ascii="仿宋" w:hAnsi="仿宋" w:eastAsia="仿宋" w:cs="仿宋"/>
                <w:sz w:val="32"/>
                <w:szCs w:val="32"/>
              </w:rPr>
              <w:t xml:space="preserve">  签章：</w:t>
            </w:r>
          </w:p>
          <w:p w14:paraId="05BFD0D0">
            <w:pPr>
              <w:jc w:val="center"/>
              <w:rPr>
                <w:rFonts w:hint="eastAsia" w:ascii="仿宋" w:hAnsi="仿宋" w:eastAsia="仿宋" w:cs="仿宋"/>
                <w:sz w:val="32"/>
                <w:szCs w:val="32"/>
              </w:rPr>
            </w:pPr>
          </w:p>
          <w:p w14:paraId="2ABA7449">
            <w:pPr>
              <w:jc w:val="center"/>
              <w:rPr>
                <w:rFonts w:hint="eastAsia" w:ascii="仿宋" w:hAnsi="仿宋" w:eastAsia="仿宋" w:cs="仿宋"/>
                <w:sz w:val="32"/>
                <w:szCs w:val="32"/>
              </w:rPr>
            </w:pPr>
            <w:r>
              <w:rPr>
                <w:rFonts w:hint="eastAsia" w:ascii="仿宋" w:hAnsi="仿宋" w:eastAsia="仿宋" w:cs="仿宋"/>
                <w:sz w:val="32"/>
                <w:szCs w:val="32"/>
              </w:rPr>
              <w:t xml:space="preserve">        年   月   日</w:t>
            </w:r>
          </w:p>
        </w:tc>
        <w:tc>
          <w:tcPr>
            <w:tcW w:w="580" w:type="pct"/>
            <w:vAlign w:val="center"/>
          </w:tcPr>
          <w:p w14:paraId="4E0BDB40">
            <w:pPr>
              <w:jc w:val="center"/>
              <w:rPr>
                <w:rFonts w:hint="eastAsia" w:ascii="仿宋" w:hAnsi="仿宋" w:eastAsia="仿宋" w:cs="仿宋"/>
                <w:sz w:val="32"/>
                <w:szCs w:val="32"/>
              </w:rPr>
            </w:pPr>
            <w:r>
              <w:rPr>
                <w:rFonts w:hint="eastAsia" w:ascii="仿宋" w:hAnsi="仿宋" w:eastAsia="仿宋" w:cs="仿宋"/>
                <w:sz w:val="32"/>
                <w:szCs w:val="32"/>
              </w:rPr>
              <w:t>检测</w:t>
            </w:r>
          </w:p>
          <w:p w14:paraId="37E71213">
            <w:pPr>
              <w:jc w:val="center"/>
              <w:rPr>
                <w:rFonts w:hint="eastAsia" w:ascii="仿宋" w:hAnsi="仿宋" w:eastAsia="仿宋" w:cs="仿宋"/>
                <w:sz w:val="32"/>
                <w:szCs w:val="32"/>
              </w:rPr>
            </w:pPr>
            <w:r>
              <w:rPr>
                <w:rFonts w:hint="eastAsia" w:ascii="仿宋" w:hAnsi="仿宋" w:eastAsia="仿宋" w:cs="仿宋"/>
                <w:sz w:val="32"/>
                <w:szCs w:val="32"/>
              </w:rPr>
              <w:t>单位</w:t>
            </w:r>
          </w:p>
          <w:p w14:paraId="36AD24FD">
            <w:pPr>
              <w:jc w:val="center"/>
              <w:rPr>
                <w:rFonts w:hint="eastAsia" w:ascii="仿宋" w:hAnsi="仿宋" w:eastAsia="仿宋" w:cs="仿宋"/>
                <w:sz w:val="32"/>
                <w:szCs w:val="32"/>
              </w:rPr>
            </w:pPr>
            <w:r>
              <w:rPr>
                <w:rFonts w:hint="eastAsia" w:ascii="仿宋" w:hAnsi="仿宋" w:eastAsia="仿宋" w:cs="仿宋"/>
                <w:sz w:val="32"/>
                <w:szCs w:val="32"/>
              </w:rPr>
              <w:t>检测</w:t>
            </w:r>
          </w:p>
          <w:p w14:paraId="2B70DFB1">
            <w:pPr>
              <w:jc w:val="center"/>
              <w:rPr>
                <w:rFonts w:hint="eastAsia" w:ascii="仿宋" w:hAnsi="仿宋" w:eastAsia="仿宋" w:cs="仿宋"/>
                <w:sz w:val="32"/>
                <w:szCs w:val="32"/>
              </w:rPr>
            </w:pPr>
            <w:r>
              <w:rPr>
                <w:rFonts w:hint="eastAsia" w:ascii="仿宋" w:hAnsi="仿宋" w:eastAsia="仿宋" w:cs="仿宋"/>
                <w:sz w:val="32"/>
                <w:szCs w:val="32"/>
              </w:rPr>
              <w:t>意见</w:t>
            </w:r>
          </w:p>
        </w:tc>
        <w:tc>
          <w:tcPr>
            <w:tcW w:w="1793" w:type="pct"/>
            <w:vAlign w:val="center"/>
          </w:tcPr>
          <w:p w14:paraId="244264B7">
            <w:pPr>
              <w:jc w:val="center"/>
              <w:rPr>
                <w:rFonts w:hint="eastAsia" w:ascii="仿宋" w:hAnsi="仿宋" w:eastAsia="仿宋" w:cs="仿宋"/>
                <w:sz w:val="32"/>
                <w:szCs w:val="32"/>
              </w:rPr>
            </w:pPr>
          </w:p>
          <w:p w14:paraId="221E8B09">
            <w:pPr>
              <w:jc w:val="center"/>
              <w:rPr>
                <w:rFonts w:hint="eastAsia" w:ascii="仿宋" w:hAnsi="仿宋" w:eastAsia="仿宋" w:cs="仿宋"/>
                <w:sz w:val="32"/>
                <w:szCs w:val="32"/>
              </w:rPr>
            </w:pPr>
          </w:p>
          <w:p w14:paraId="08C8A7D9">
            <w:pPr>
              <w:jc w:val="center"/>
              <w:rPr>
                <w:rFonts w:hint="eastAsia" w:ascii="仿宋" w:hAnsi="仿宋" w:eastAsia="仿宋" w:cs="仿宋"/>
                <w:sz w:val="32"/>
                <w:szCs w:val="32"/>
              </w:rPr>
            </w:pPr>
          </w:p>
          <w:p w14:paraId="14DBDF90">
            <w:pPr>
              <w:jc w:val="center"/>
              <w:rPr>
                <w:rFonts w:hint="eastAsia" w:ascii="仿宋" w:hAnsi="仿宋" w:eastAsia="仿宋" w:cs="仿宋"/>
                <w:sz w:val="32"/>
                <w:szCs w:val="32"/>
              </w:rPr>
            </w:pPr>
            <w:r>
              <w:rPr>
                <w:rFonts w:hint="eastAsia" w:ascii="仿宋" w:hAnsi="仿宋" w:eastAsia="仿宋" w:cs="仿宋"/>
                <w:sz w:val="32"/>
                <w:szCs w:val="32"/>
              </w:rPr>
              <w:t xml:space="preserve">  签章：</w:t>
            </w:r>
          </w:p>
          <w:p w14:paraId="521C65D6">
            <w:pPr>
              <w:jc w:val="center"/>
              <w:rPr>
                <w:rFonts w:hint="eastAsia" w:ascii="仿宋" w:hAnsi="仿宋" w:eastAsia="仿宋" w:cs="仿宋"/>
                <w:sz w:val="32"/>
                <w:szCs w:val="32"/>
              </w:rPr>
            </w:pPr>
          </w:p>
          <w:p w14:paraId="267BAA5F">
            <w:pPr>
              <w:jc w:val="center"/>
              <w:rPr>
                <w:rFonts w:hint="eastAsia" w:ascii="仿宋" w:hAnsi="仿宋" w:eastAsia="仿宋" w:cs="仿宋"/>
                <w:sz w:val="32"/>
                <w:szCs w:val="32"/>
              </w:rPr>
            </w:pPr>
            <w:r>
              <w:rPr>
                <w:rFonts w:hint="eastAsia" w:ascii="仿宋" w:hAnsi="仿宋" w:eastAsia="仿宋" w:cs="仿宋"/>
                <w:sz w:val="32"/>
                <w:szCs w:val="32"/>
              </w:rPr>
              <w:t xml:space="preserve">      年   月   日</w:t>
            </w:r>
          </w:p>
        </w:tc>
      </w:tr>
    </w:tbl>
    <w:p w14:paraId="4E439ABE">
      <w:pPr>
        <w:pStyle w:val="2"/>
        <w:rPr>
          <w:rFonts w:hint="eastAsia"/>
        </w:rPr>
      </w:pPr>
    </w:p>
    <w:p w14:paraId="129457E6">
      <w:pPr>
        <w:pStyle w:val="2"/>
        <w:rPr>
          <w:rFonts w:hint="eastAsia"/>
        </w:rPr>
      </w:pPr>
      <w:r>
        <w:rPr>
          <w:rFonts w:hint="eastAsia"/>
        </w:rPr>
        <w:br w:type="page"/>
      </w:r>
      <w:r>
        <w:rPr>
          <w:rFonts w:hint="eastAsia"/>
        </w:rPr>
        <w:t>临时用电及小型机具安全监督交底（姚克敏）</w:t>
      </w:r>
    </w:p>
    <w:p w14:paraId="5FFCC31B">
      <w:pPr>
        <w:ind w:firstLine="643" w:firstLineChars="200"/>
        <w:rPr>
          <w:rFonts w:hint="eastAsia" w:ascii="仿宋" w:hAnsi="仿宋" w:eastAsia="仿宋"/>
          <w:b/>
          <w:bCs/>
          <w:sz w:val="32"/>
          <w:szCs w:val="32"/>
        </w:rPr>
      </w:pPr>
    </w:p>
    <w:p w14:paraId="7ED5D79E">
      <w:pPr>
        <w:spacing w:line="560" w:lineRule="exact"/>
        <w:ind w:firstLine="640" w:firstLineChars="200"/>
        <w:rPr>
          <w:rFonts w:hint="eastAsia" w:ascii="仿宋_GB2312" w:hAnsi="仿宋_GB2312" w:eastAsia="仿宋_GB2312" w:cs="仿宋_GB2312"/>
          <w:sz w:val="32"/>
          <w:szCs w:val="32"/>
        </w:rPr>
      </w:pPr>
      <w:r>
        <w:rPr>
          <w:rFonts w:hint="eastAsia" w:ascii="黑体" w:hAnsi="黑体" w:eastAsia="黑体" w:cs="黑体"/>
          <w:sz w:val="32"/>
          <w:szCs w:val="32"/>
        </w:rPr>
        <w:t>一、主要依据</w:t>
      </w:r>
    </w:p>
    <w:p w14:paraId="6CBDCF6B">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kern w:val="0"/>
          <w:sz w:val="32"/>
          <w:szCs w:val="32"/>
          <w:lang w:bidi="ar"/>
        </w:rPr>
        <w:t>《建筑与市政工程施工现场临时用电安全技术标准》（JGJ/T46-2024）《建筑施工安全检查标准》（JGJ59-2011）《建设工程施工现场供用电安全规范》（GB50194-2014）《建筑施工易发事故防治安全标准》（JGJ/T429-2018）《市政工程施工安全检查标准》（CJJ/T275-2018）《建筑机械使用安全技术规程》（JGJ33-2012）《房屋市政工程生产安全重大事故隐患判定标准（2024 版）》《施工现场安全防护用具及机械设备使用监督管理规定》（建建〔1998〕164 号）《建筑与市政施工现场安全卫生与职业健康通用规范》（GB55034-2022）等相关规定。</w:t>
      </w:r>
    </w:p>
    <w:p w14:paraId="48CB2200">
      <w:pPr>
        <w:spacing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二、管控重点</w:t>
      </w:r>
    </w:p>
    <w:p w14:paraId="33E423A8">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（一）临时用电管理要求</w:t>
      </w:r>
    </w:p>
    <w:p w14:paraId="5238ACB6">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建立临时用电专项档案，包括临时用电施工组织设计（方案）及审批记录、电工特种作业操作资格证书、安全技术交底记录、临时用电验收记录、接地电阻及绝缘电阻测试记录、漏电保护器测试记录、日常检查记录等，档案资料完整、分类清晰、可追溯。</w:t>
      </w:r>
    </w:p>
    <w:p w14:paraId="6346A34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2.临时用电设备5台（含）及以上或总容量 50Kw（含）及以上的，编制临时用电工程组织设计；设备5台以下或总容量 50Kw以下的，制定安全用电和电气防火专项措施。方案由电气工程技术人员组织编制，施工单位相关部门（技术、安全等）审核，总监理工程师审查通过后方可实施。方案变更必须重新履行编制 、审核 、审批，并补充图纸资料。</w:t>
      </w:r>
    </w:p>
    <w:p w14:paraId="27F38B01">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3.总包与分包单位签订正式临时用电管理协议，明确双方安全生产管理责任，责任划分清晰且落实到位。</w:t>
      </w:r>
    </w:p>
    <w:p w14:paraId="45286A86">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4.开展书面临时用电安全技术交底，交底内容结合工程实际、具备针对性和实操性，履行签字确认手续，覆盖所有用电作业人员。</w:t>
      </w:r>
    </w:p>
    <w:p w14:paraId="3A8B6342">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5.施工单位为作业人员配备符合规范要求的安全防护用具及用品，定期检查维护并留存记录，严禁使用不合格防护用具</w:t>
      </w:r>
    </w:p>
    <w:p w14:paraId="106BA6E2">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6.建筑电工持有效建筑施工特种作业操作资格证书且人证相符方可上岗，其他用电人员经安全教育培训、专项技术交底并考核合格后上岗，相关培训考核、交底记录完整可追溯。</w:t>
      </w:r>
    </w:p>
    <w:p w14:paraId="0CEDDFA8">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7.监理单位结合工程特点编制临时用电监理实施细则，履行审批程序；各方规范填写履职记录，关键岗位履职记录真实、完整、规范。</w:t>
      </w:r>
    </w:p>
    <w:p w14:paraId="1CA9E250">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8.临时用电工程按分部、分项工程开展定期检查，隐患及时整改并履行复查验收手续；监理单位落实安全巡视制度。</w:t>
      </w:r>
    </w:p>
    <w:p w14:paraId="3C5BC5F8">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9.严格执行三级配电、两级保护“TN-S 接零保护系统”“一机一闸” 规定。其中三级配电指施工现场从电源进线开始，依次设置总配电箱、分配电箱、开关箱，形成三级配电层级，总配电箱为现场配电总枢纽，负责整个施工现场用电的总控制；分配电箱负责分区域、分线路的用电分配，不得直接向用电设备供电；开关箱直接与用电设备连接，是最后一级配电装置，每台用电设备对应专属开关箱。两级保护指在三级配电体系中，分别在总配电箱和开关箱内设置漏电保护装置，形成两级漏电保护防线，分配电箱内可不设置漏电保护器，总配电箱的漏电保护器（额定剩余动作电流应大于30mA，额定剩余动作时间应大于0.1s，额定剩余动作电流与额定剩余动作时间的乘积不应大于30mA·s）侧重整体配电系统的漏电保护，开关箱的漏电保护器侧重用电设备末端的直接漏电保护，两级保护相互配合，实现对用电线路和设备的双重漏电防护。动力开关箱与照明开关箱分设；保护零线（PE线）采用黄绿双色线，与工作零线（N线）严格分离，重复接地设置符合规范要求（总配电箱、配电线路中间及末端处必须设置重复接地，每处重复接地的接地电阻值≤10Ω）；漏电保护器参数与使用场景匹配，一般场所开关箱漏电保护器额定漏电动作电流≤30mA、动作时间≤0.1s，潮湿/有腐蚀介质场所≤15mA、≤0.1s，总配电箱宜采用延时型，漏电保护器动作灵敏可靠。</w:t>
      </w:r>
    </w:p>
    <w:p w14:paraId="27C689B2">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10.总配电房应设置在地势较高、不易积水、通风良好的区域，配备消防器材和警示标志，房内保持整洁、干燥，禁止存放易燃易爆物品及其他杂物。配电房内配电装置布置应符合安全距离要求，操作通道宽度不小于1.5m，维护通道宽度不小于0.8m。</w:t>
      </w:r>
    </w:p>
    <w:p w14:paraId="069D39E6">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11.分配电箱应按区域或用电设备群设置，与用电设备或负荷中心距离不宜超过30m。分配电箱内应设置总隔离开关、总断路器及各分路隔离开关、分路断路器，箱体应牢固安装，做好防雨、防尘、防砸措施。</w:t>
      </w:r>
    </w:p>
    <w:p w14:paraId="58C2E3ED">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12.三级箱（开关箱）必须严格执行“一机一闸”制度，与用电设备的水平距离不宜超过3m。开关箱应设置隔离开关、断路器、漏电保护器，箱体必须做保护接零，周围0.8m范围内不得堆放物料，保持操作通道畅通。</w:t>
      </w:r>
    </w:p>
    <w:p w14:paraId="47AEDDDA">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13.配电箱、开关箱设置防雨、防尘、防砸防护设施，箱体做保护接零处理；周边严禁堆放易燃、易爆及杂物，操作空间不小于0.8m；严禁用铜丝、铁丝等代替保险丝，严禁擅自拆改箱内电气装置。</w:t>
      </w:r>
    </w:p>
    <w:p w14:paraId="1A81DD79">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14.施工现场消火栓泵采用专用消防配电线路，线路从总配电箱总断路器上端接入，设置单独不间断供电回路，严禁接入其他用电设备。</w:t>
      </w:r>
    </w:p>
    <w:p w14:paraId="031A264E">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15.电缆线路采用埋地、架空或穿管敷设，严禁沿地面明敷、缠绕或浸泡在水中；埋地电缆埋深不小于 0.7m，穿越道路加设防护套管并设置标识桩，架空电缆敷设高度、间距符合 JGJ/T46-2024 规范要求，杜绝私拉乱接、电线拖地泡水等违规行为。</w:t>
      </w:r>
    </w:p>
    <w:p w14:paraId="1D3C2C6B">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16.接地电阻、绝缘电阻、漏电保护器定期检测记录及小型机具维护保养记录齐全，检测数据真实、频次符合规范要求。</w:t>
      </w:r>
    </w:p>
    <w:p w14:paraId="2880D38D">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17.外电防护要求</w:t>
      </w:r>
    </w:p>
    <w:p w14:paraId="7140880F">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（1）施工现场靠近外电线路作业时，按规范测算最小安全操作距离，1kV 以下≥7m、1～10kV≥8m、35～110kV≥8m、220kV≥10m、330～500kV≥15m，严禁在安全距离内搭设作业棚、建造生活设施、堆放物料器材，现场设置明显警示标志,严禁擅自拆除、移动防护设施；确因施工需要临时拆除/移动的，需编制专项施工方案并履行审批程序，落实临时防护措施及专人监护，施工完成后立即恢复。</w:t>
      </w:r>
    </w:p>
    <w:p w14:paraId="53B09E5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（2）无法避开外电线路且安全距离不足时，搭设封闭式绝缘外电防护设施，设施坚固、稳定、封闭，与外电线路的最小安全距离符合规范要求，外侧设置明显高压危险警示标志，严禁擅自拆除、移动防护设施。</w:t>
      </w:r>
    </w:p>
    <w:p w14:paraId="39B81374">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外电防护设施搭设前编制专项搭设方案并履行审批程序，搭设过程设专人监护；基坑开挖、塔吊吊装等可能影响外电线路安全的关键涉电工序，编制专项安全施工方案，监理单位实施全程旁站监理并做好旁站记录，及时制止违规操作。</w:t>
      </w:r>
    </w:p>
    <w:p w14:paraId="65CF0F6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18.临时用电验收要求</w:t>
      </w:r>
    </w:p>
    <w:p w14:paraId="538F8A9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（1）实行“分项验收 + 整体验收”制度，分项验收包括配电箱（总、分、开关箱）、电缆线路、接地接零系统、外电防护设施，各分项验收合格后方可开展整体工程验收，未经验收或验收不合格严禁投入使用。</w:t>
      </w:r>
    </w:p>
    <w:p w14:paraId="44C55D7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各分项验收填写量化记录，明确检测数据；配电箱验收核查防护、接零、配线及漏电保护器性能，现场测试动作灵敏度；电缆线路验收核查敷设方式、埋深、防护及接头绝缘；接地接零系统验收现场检测接地电阻，工作接地电阻≤10Ω、重复接地电阻≤10Ω，核查PE线与N线分离、连接点牢固情况；外电防护设施验收复测安全距离，核查搭设材料、封闭性及警示标志设置。</w:t>
      </w:r>
    </w:p>
    <w:p w14:paraId="62A03D94">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（3）临时用电整体工程由总承包单位组织验收，分包、监理单位参与，验收内容量化、责任到人，验收合格后签署验收意见书，验收记录及各方签字规范完整。</w:t>
      </w:r>
    </w:p>
    <w:p w14:paraId="3867474F">
      <w:pPr>
        <w:spacing w:line="560" w:lineRule="exact"/>
        <w:ind w:firstLine="643" w:firstLineChars="200"/>
        <w:rPr>
          <w:rFonts w:hint="eastAsia" w:ascii="仿宋_GB2312" w:hAnsi="仿宋_GB2312" w:eastAsia="仿宋_GB2312" w:cs="仿宋_GB2312"/>
          <w:b/>
          <w:bCs/>
          <w:sz w:val="32"/>
          <w:szCs w:val="32"/>
        </w:rPr>
      </w:pPr>
      <w:r>
        <w:rPr>
          <w:rFonts w:hint="eastAsia" w:ascii="楷体" w:hAnsi="楷体" w:eastAsia="楷体" w:cs="楷体"/>
          <w:b/>
          <w:bCs/>
          <w:sz w:val="32"/>
          <w:szCs w:val="32"/>
        </w:rPr>
        <w:t>（二）小型机具管理要求</w:t>
      </w:r>
    </w:p>
    <w:p w14:paraId="6D2774CB">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1.施工现场建立小型机具 “一机一档”管理台账，完整记录设备进场、验收、使用、检修、退场全过程信息，确保账物相符。</w:t>
      </w:r>
    </w:p>
    <w:p w14:paraId="1DB87A72">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进场小型机具为正规厂家生产，具备产品合格证、使用说明书等出厂资料，严禁“无生产厂家、无产品商标铭牌标识、无产品合格证、无主要技术参数”的四无产品及私自改装设备进场，进场资料审核记录完整。</w:t>
      </w:r>
    </w:p>
    <w:p w14:paraId="493E3411">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3.小型机具使用前进行试运行，检查传动、制动、防护及用电保护装置性能，运行异常立即停机检修，严禁带故障作业，试运行记录齐全。小型机具使用前完成全面验收并留存量化验收记录。</w:t>
      </w:r>
    </w:p>
    <w:p w14:paraId="7260430B">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4.小型机具传动部位按规范设置防护装置，防护装置完好有效；小型机具金属外壳做保护接零处理，开关箱内设置专用漏电保护器，严禁擅自拆除或损坏防护装置、缺失用电保护措施。</w:t>
      </w:r>
    </w:p>
    <w:p w14:paraId="71F8F926">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5.小型机具在指定区域作业，与基坑、外电线路等危险部位保持符合规范的安全距离，作业区域设置警戒标志及防护设施。</w:t>
      </w:r>
    </w:p>
    <w:p w14:paraId="777B2641">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6.小型机具作业完毕后及时切断电源，做好清洁、保养和归位存放，定期开展维护检修并留存记录，记录真实、保养到位。</w:t>
      </w:r>
    </w:p>
    <w:p w14:paraId="4A778AC4">
      <w:pPr>
        <w:spacing w:line="560" w:lineRule="exact"/>
        <w:ind w:firstLine="640" w:firstLineChars="200"/>
        <w:rPr>
          <w:rFonts w:hint="eastAsia" w:ascii="仿宋" w:hAnsi="仿宋" w:eastAsia="仿宋" w:cs="仿宋_GB2312"/>
          <w:color w:val="000000"/>
          <w:sz w:val="32"/>
          <w:szCs w:val="32"/>
        </w:rPr>
      </w:pPr>
      <w:r>
        <w:rPr>
          <w:rFonts w:hint="eastAsia" w:ascii="仿宋_GB2312" w:hAnsi="仿宋_GB2312" w:eastAsia="仿宋_GB2312" w:cs="仿宋_GB2312"/>
          <w:sz w:val="32"/>
          <w:szCs w:val="32"/>
        </w:rPr>
        <w:t>7.电焊机一次线长度≤5m，二次线采用≤30m专用焊把线，严禁破损、裸露，严禁用其他导线代替焊把线。</w:t>
      </w:r>
    </w:p>
    <w:p w14:paraId="6713647B">
      <w:pPr>
        <w:pStyle w:val="7"/>
        <w:spacing w:line="560" w:lineRule="exact"/>
        <w:ind w:firstLine="643" w:firstLineChars="200"/>
        <w:rPr>
          <w:rFonts w:hint="eastAsia" w:ascii="仿宋" w:hAnsi="仿宋" w:eastAsia="仿宋"/>
          <w:b/>
          <w:bCs/>
          <w:sz w:val="32"/>
          <w:szCs w:val="32"/>
          <w:lang w:eastAsia="zh-CN"/>
        </w:rPr>
      </w:pPr>
      <w:r>
        <w:rPr>
          <w:rFonts w:hint="eastAsia" w:ascii="仿宋" w:hAnsi="仿宋" w:eastAsia="仿宋"/>
          <w:b/>
          <w:bCs/>
          <w:sz w:val="32"/>
          <w:szCs w:val="32"/>
          <w:lang w:eastAsia="zh-CN"/>
        </w:rPr>
        <w:t>三、常见问题</w:t>
      </w:r>
    </w:p>
    <w:p w14:paraId="6E02B65F">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1.临时用电施工组织设计（或方案）未结合工程实际，缺乏指导性和可操作性。</w:t>
      </w:r>
    </w:p>
    <w:p w14:paraId="791B45BB">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2.项目部临时用电验收记录签字不齐全、不规范，验收内容未量化，无具体验收数据及判定标准。</w:t>
      </w:r>
    </w:p>
    <w:p w14:paraId="264F1471">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3.开关箱设置未满足</w:t>
      </w:r>
      <w:r>
        <w:rPr>
          <w:rFonts w:hint="eastAsia" w:ascii="仿宋" w:hAnsi="仿宋" w:eastAsia="仿宋" w:cs="仿宋_GB2312"/>
          <w:sz w:val="32"/>
          <w:szCs w:val="32"/>
        </w:rPr>
        <w:t>“一机一闸”</w:t>
      </w:r>
      <w:r>
        <w:rPr>
          <w:rFonts w:hint="eastAsia" w:ascii="仿宋" w:hAnsi="仿宋" w:eastAsia="仿宋" w:cs="仿宋_GB2312"/>
          <w:color w:val="000000"/>
          <w:sz w:val="32"/>
          <w:szCs w:val="32"/>
        </w:rPr>
        <w:t>要求，动力与照明开关箱混用，多台设备共用一个开关箱或漏电保护器。</w:t>
      </w:r>
    </w:p>
    <w:p w14:paraId="42CFF01E">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4.线缆敷设方式、高度不符合规范标准，存在沿地面明敷、缠绕脚手架、拖地泡水等违规行为。</w:t>
      </w:r>
    </w:p>
    <w:p w14:paraId="3E3B8A29">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5.导线颜色、规格型号混用、代用，部分导线采用串联连接方式，接线不规范。</w:t>
      </w:r>
    </w:p>
    <w:p w14:paraId="0D3029E1">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6.人工挖孔桩、潮湿作业区等特殊场所照明未使用安全电压，存在触电隐患。</w:t>
      </w:r>
    </w:p>
    <w:p w14:paraId="0BC34E32">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7.未采用专用插座和插头，违规以两裸线头直插方式取电，存在私拉乱接现象。</w:t>
      </w:r>
    </w:p>
    <w:p w14:paraId="5E9B8324">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8.接地电阻、绝缘电阻等电阻测试记录不齐全、内容不真实，未按规定周期检测。</w:t>
      </w:r>
    </w:p>
    <w:p w14:paraId="0F02F803">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9.小型机具使用倒顺开关，未做保护接零、未设置漏电保护。</w:t>
      </w:r>
    </w:p>
    <w:p w14:paraId="7FF14F32">
      <w:pPr>
        <w:spacing w:line="560" w:lineRule="exact"/>
        <w:ind w:firstLine="640" w:firstLineChars="200"/>
        <w:rPr>
          <w:rFonts w:hint="eastAsia" w:ascii="仿宋" w:hAnsi="仿宋" w:eastAsia="仿宋" w:cs="仿宋_GB2312"/>
          <w:color w:val="000000"/>
          <w:sz w:val="32"/>
          <w:szCs w:val="32"/>
        </w:rPr>
      </w:pPr>
    </w:p>
    <w:p w14:paraId="677835A3">
      <w:pPr>
        <w:pStyle w:val="2"/>
        <w:rPr>
          <w:rFonts w:hint="eastAsia"/>
        </w:rPr>
      </w:pPr>
      <w:r>
        <w:rPr>
          <w:rFonts w:hint="eastAsia" w:ascii="仿宋_GB2312" w:eastAsia="仿宋_GB2312"/>
          <w:kern w:val="0"/>
        </w:rPr>
        <w:br w:type="page"/>
      </w:r>
      <w:r>
        <w:rPr>
          <w:rFonts w:hint="eastAsia"/>
        </w:rPr>
        <w:t>建筑工程施工现场消防安全监督交底（秦轶俊）</w:t>
      </w:r>
    </w:p>
    <w:p w14:paraId="09AE8D74">
      <w:pPr>
        <w:spacing w:line="560" w:lineRule="exact"/>
        <w:ind w:firstLine="640" w:firstLineChars="200"/>
        <w:rPr>
          <w:rFonts w:hint="eastAsia" w:ascii="仿宋" w:hAnsi="仿宋" w:eastAsia="仿宋" w:cs="仿宋"/>
          <w:bCs/>
          <w:sz w:val="32"/>
          <w:szCs w:val="32"/>
        </w:rPr>
      </w:pPr>
      <w:r>
        <w:rPr>
          <w:rFonts w:hint="eastAsia" w:ascii="黑体" w:hAnsi="黑体" w:eastAsia="黑体" w:cs="仿宋"/>
          <w:bCs/>
          <w:sz w:val="32"/>
          <w:szCs w:val="32"/>
        </w:rPr>
        <w:t>一、主要依据</w:t>
      </w:r>
    </w:p>
    <w:p w14:paraId="0875497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kern w:val="0"/>
          <w:sz w:val="32"/>
          <w:szCs w:val="32"/>
        </w:rPr>
        <w:t>《中华人民共和国消防法》、《建设工程安全生产管理条例》、</w:t>
      </w:r>
      <w:r>
        <w:rPr>
          <w:rFonts w:hint="eastAsia" w:ascii="仿宋_GB2312" w:hAnsi="仿宋" w:eastAsia="仿宋_GB2312" w:cs="仿宋"/>
          <w:sz w:val="32"/>
          <w:szCs w:val="32"/>
        </w:rPr>
        <w:t>《建筑施工安全检查标准》(JGJ59-2011)《市政工程施工安全检查标准》（CJJ/T275-2018）《建筑防火通用规范》（GB55037-2022）《消防设施通用规范》（GB55036-2022）《</w:t>
      </w:r>
      <w:bookmarkStart w:id="8" w:name="OLE_LINK7"/>
      <w:r>
        <w:rPr>
          <w:rFonts w:hint="eastAsia" w:ascii="仿宋_GB2312" w:hAnsi="仿宋" w:eastAsia="仿宋_GB2312" w:cs="仿宋"/>
          <w:sz w:val="32"/>
          <w:szCs w:val="32"/>
        </w:rPr>
        <w:t>建设工程施工现场消防安全技术规范</w:t>
      </w:r>
      <w:bookmarkEnd w:id="8"/>
      <w:r>
        <w:rPr>
          <w:rFonts w:hint="eastAsia" w:ascii="仿宋_GB2312" w:hAnsi="仿宋" w:eastAsia="仿宋_GB2312" w:cs="仿宋"/>
          <w:sz w:val="32"/>
          <w:szCs w:val="32"/>
        </w:rPr>
        <w:t>》（GB/T50720-2011）</w:t>
      </w:r>
      <w:r>
        <w:rPr>
          <w:rFonts w:hint="eastAsia" w:ascii="仿宋_GB2312" w:hAnsi="仿宋" w:eastAsia="仿宋_GB2312" w:cs="仿宋"/>
          <w:sz w:val="32"/>
          <w:szCs w:val="32"/>
          <w:lang w:eastAsia="zh"/>
        </w:rPr>
        <w:t>(2025年版)</w:t>
      </w:r>
      <w:r>
        <w:rPr>
          <w:rFonts w:hint="eastAsia" w:ascii="仿宋_GB2312" w:hAnsi="仿宋_GB2312" w:eastAsia="仿宋_GB2312" w:cs="仿宋_GB2312"/>
          <w:sz w:val="32"/>
          <w:szCs w:val="32"/>
        </w:rPr>
        <w:t>《施工临时用电安全技术规范》JGJ/T46-2024</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lang w:eastAsia="zh"/>
        </w:rPr>
        <w:t>《湖南省住房和城乡建设厅关于加强住房城乡建设领域动火作业安全管理的通知》（湘建质函〔2025〕69号）</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关于进一步加强房屋市政工程建筑施工动火作业安全监管的通知</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（湘质安监字〔2025〕13号</w:t>
      </w:r>
      <w:r>
        <w:rPr>
          <w:rFonts w:hint="eastAsia" w:ascii="仿宋_GB2312" w:hAnsi="仿宋" w:eastAsia="仿宋_GB2312" w:cs="仿宋"/>
          <w:sz w:val="32"/>
          <w:szCs w:val="32"/>
        </w:rPr>
        <w:t>）等相关规定。</w:t>
      </w:r>
    </w:p>
    <w:p w14:paraId="168F7DFF">
      <w:pPr>
        <w:spacing w:line="560" w:lineRule="exact"/>
        <w:ind w:firstLine="640" w:firstLineChars="200"/>
        <w:rPr>
          <w:rFonts w:hint="eastAsia" w:ascii="仿宋_GB2312" w:hAnsi="仿宋" w:eastAsia="黑体" w:cs="仿宋"/>
          <w:kern w:val="0"/>
          <w:sz w:val="32"/>
          <w:szCs w:val="32"/>
        </w:rPr>
      </w:pPr>
      <w:r>
        <w:rPr>
          <w:rFonts w:hint="eastAsia" w:ascii="黑体" w:hAnsi="黑体" w:eastAsia="黑体" w:cs="黑体"/>
          <w:kern w:val="0"/>
          <w:sz w:val="32"/>
          <w:szCs w:val="32"/>
        </w:rPr>
        <w:t>二、管控重点</w:t>
      </w:r>
    </w:p>
    <w:p w14:paraId="19E1627A">
      <w:pPr>
        <w:spacing w:line="560" w:lineRule="exact"/>
        <w:ind w:firstLine="640" w:firstLineChars="200"/>
        <w:rPr>
          <w:rFonts w:hint="eastAsia" w:ascii="方正楷体_GB2312" w:hAnsi="方正楷体_GB2312" w:eastAsia="方正楷体_GB2312" w:cs="方正楷体_GB2312"/>
          <w:kern w:val="0"/>
          <w:sz w:val="32"/>
          <w:szCs w:val="32"/>
        </w:rPr>
      </w:pPr>
      <w:r>
        <w:rPr>
          <w:rFonts w:hint="eastAsia" w:ascii="方正楷体_GB2312" w:hAnsi="方正楷体_GB2312" w:eastAsia="方正楷体_GB2312" w:cs="方正楷体_GB2312"/>
          <w:kern w:val="0"/>
          <w:sz w:val="32"/>
          <w:szCs w:val="32"/>
        </w:rPr>
        <w:t>（一）施工现场布局与防火要求</w:t>
      </w:r>
    </w:p>
    <w:p w14:paraId="768B96B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分区设置作业区、材料堆放区、办公生活区等，各区用不燃材料隔离，易燃易爆危险品库房与在建工程的防火间距不应小于15m。可燃材料堆场及其加工场、固定动火作业场与在建工程的防火间距不应小于10m，其他临时用房、临时设施与在建工程的防火间距不应小于6m。</w:t>
      </w:r>
    </w:p>
    <w:p w14:paraId="6421033A">
      <w:pPr>
        <w:spacing w:line="560" w:lineRule="exact"/>
        <w:ind w:firstLine="640" w:firstLineChars="200"/>
        <w:rPr>
          <w:rFonts w:hint="eastAsia" w:ascii="仿宋_GB2312" w:hAnsi="仿宋" w:eastAsia="仿宋_GB2312" w:cs="仿宋"/>
          <w:bCs/>
          <w:kern w:val="0"/>
          <w:sz w:val="32"/>
          <w:szCs w:val="32"/>
        </w:rPr>
      </w:pPr>
      <w:r>
        <w:rPr>
          <w:rFonts w:hint="eastAsia" w:ascii="仿宋_GB2312" w:hAnsi="仿宋" w:eastAsia="仿宋_GB2312" w:cs="仿宋"/>
          <w:kern w:val="0"/>
          <w:sz w:val="32"/>
          <w:szCs w:val="32"/>
        </w:rPr>
        <w:t>2.临时消防车道、临时消防救援场地、回车场和消防水源。施工现场出人口的设置应满足消防车通行的要求,并宜布置在不同方向，其数量不宜少于2个。当确有困难只能设置1个出人口时,应在施工现场内设置满足消防车通行的环形道路或在道路尽头设置</w:t>
      </w:r>
      <w:r>
        <w:rPr>
          <w:rFonts w:hint="eastAsia" w:ascii="仿宋_GB2312" w:hAnsi="仿宋" w:eastAsia="仿宋_GB2312" w:cs="仿宋"/>
          <w:bCs/>
          <w:kern w:val="0"/>
          <w:sz w:val="32"/>
          <w:szCs w:val="32"/>
        </w:rPr>
        <w:t>回车场，建筑高度超过100m的在建工程，回车场尺寸不应小于18m×18m。</w:t>
      </w:r>
    </w:p>
    <w:p w14:paraId="6185BCE2">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既有建筑扩建、改建或内部改造时，明确划分施工区与非施工区，施工区不得营业、使用和居住；非施工区继续使用时，用耐火极限≥3.00h不燃体隔墙（整体改造等场景需加设甲级防火门）分隔，确保消防设施完好、疏散通道畅通。</w:t>
      </w:r>
    </w:p>
    <w:p w14:paraId="62AC0AC2">
      <w:pPr>
        <w:spacing w:line="560" w:lineRule="exact"/>
        <w:ind w:firstLine="640" w:firstLineChars="200"/>
        <w:rPr>
          <w:rFonts w:hint="eastAsia" w:ascii="方正楷体_GB2312" w:hAnsi="方正楷体_GB2312" w:eastAsia="方正楷体_GB2312" w:cs="方正楷体_GB2312"/>
          <w:kern w:val="0"/>
          <w:sz w:val="32"/>
          <w:szCs w:val="32"/>
        </w:rPr>
      </w:pPr>
      <w:r>
        <w:rPr>
          <w:rFonts w:hint="eastAsia" w:ascii="方正楷体_GB2312" w:hAnsi="方正楷体_GB2312" w:eastAsia="方正楷体_GB2312" w:cs="方正楷体_GB2312"/>
          <w:kern w:val="0"/>
          <w:sz w:val="32"/>
          <w:szCs w:val="32"/>
        </w:rPr>
        <w:t>（二）临时设施与材料防火</w:t>
      </w:r>
    </w:p>
    <w:p w14:paraId="7D259A73">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办公、宿舍等临时用房采用A级不燃材料搭建，建筑层数不应超过3层,任一层建筑面积不应大于300m。层数为3层或建筑面积大于200m的楼层，应设置不少于2部疏散楼梯,房间疏散门至疏散楼梯的疏散距离不应大于25m。每100㎡临时建筑应至少配备两具灭火级别不低于4A的灭火器，厨房等用火场所应适当增加灭火器配置数量，临时建筑应在验收合格后，方可交付使用。</w:t>
      </w:r>
    </w:p>
    <w:p w14:paraId="26A33626">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发电机房、变配电房、厨房操作间、锅炉房、可燃材料库房等特殊临时用房为1层建筑，建筑面积不应大于200㎡，可燃材料库房单个房间建筑面积不应超过30㎡，易燃易爆危险品库房单个房间单个房间建筑面积不应超过20</w:t>
      </w:r>
      <w:bookmarkStart w:id="9" w:name="OLE_LINK8"/>
      <w:r>
        <w:rPr>
          <w:rFonts w:hint="eastAsia" w:ascii="仿宋_GB2312" w:hAnsi="仿宋" w:eastAsia="仿宋_GB2312" w:cs="仿宋"/>
          <w:kern w:val="0"/>
          <w:sz w:val="32"/>
          <w:szCs w:val="32"/>
        </w:rPr>
        <w:t>㎡</w:t>
      </w:r>
      <w:bookmarkEnd w:id="9"/>
      <w:r>
        <w:rPr>
          <w:rFonts w:hint="eastAsia" w:ascii="仿宋_GB2312" w:hAnsi="仿宋" w:eastAsia="仿宋_GB2312" w:cs="仿宋"/>
          <w:kern w:val="0"/>
          <w:sz w:val="32"/>
          <w:szCs w:val="32"/>
        </w:rPr>
        <w:t>，建筑构件燃烧性能等级均为A级。</w:t>
      </w:r>
    </w:p>
    <w:p w14:paraId="5E6119C2">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3.易燃易爆危险品限量进入作业区，不超过连续8h使用量，余料及时清理；室内使用油漆等易挥发易燃气体物资时，保持良好通风，严禁明火并设置防静电措施。</w:t>
      </w:r>
    </w:p>
    <w:p w14:paraId="4E260C08">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4.存放易燃、可燃建筑材料的库房宜设置临时局部自动喷水灭火设施，存在可燃气体泄漏风险的场所，采用探测、报警或视频监控与人员巡查相结合的监测预警措施。</w:t>
      </w:r>
    </w:p>
    <w:p w14:paraId="24A85F9B">
      <w:pPr>
        <w:spacing w:line="560" w:lineRule="exact"/>
        <w:ind w:firstLine="640" w:firstLineChars="200"/>
        <w:rPr>
          <w:rFonts w:hint="eastAsia" w:ascii="方正楷体_GB2312" w:hAnsi="方正楷体_GB2312" w:eastAsia="方正楷体_GB2312" w:cs="方正楷体_GB2312"/>
          <w:kern w:val="0"/>
          <w:sz w:val="32"/>
          <w:szCs w:val="32"/>
        </w:rPr>
      </w:pPr>
      <w:r>
        <w:rPr>
          <w:rFonts w:hint="eastAsia" w:ascii="方正楷体_GB2312" w:hAnsi="方正楷体_GB2312" w:eastAsia="方正楷体_GB2312" w:cs="方正楷体_GB2312"/>
          <w:kern w:val="0"/>
          <w:sz w:val="32"/>
          <w:szCs w:val="32"/>
        </w:rPr>
        <w:t>（三）消防设施配置与运行</w:t>
      </w:r>
    </w:p>
    <w:p w14:paraId="6A6888D6">
      <w:pPr>
        <w:spacing w:line="560" w:lineRule="exact"/>
        <w:ind w:firstLine="640" w:firstLineChars="200"/>
        <w:rPr>
          <w:rFonts w:hint="eastAsia" w:ascii="方正楷体_GB2312" w:hAnsi="方正楷体_GB2312" w:eastAsia="方正楷体_GB2312" w:cs="方正楷体_GB2312"/>
          <w:kern w:val="0"/>
          <w:sz w:val="32"/>
          <w:szCs w:val="32"/>
        </w:rPr>
      </w:pPr>
      <w:r>
        <w:rPr>
          <w:rFonts w:hint="eastAsia" w:ascii="仿宋_GB2312" w:hAnsi="仿宋" w:eastAsia="仿宋_GB2312" w:cs="仿宋"/>
          <w:color w:val="FF0000"/>
          <w:kern w:val="0"/>
          <w:sz w:val="32"/>
          <w:szCs w:val="32"/>
        </w:rPr>
        <w:t>1.施工单位应编制临时消防专项方案，按方案配置临时消防设施，并由建设、监理、施工单位组织三方联合验收，建立设施维护台账，定期检查测试，确保消防设施完好有效。</w:t>
      </w:r>
    </w:p>
    <w:p w14:paraId="4756572D">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2.施工现场应设置灭火器、临时消防给水系统、应急照明等设施，鼓励采用智能化消防设施，与在建工程施工同步设置，房屋建筑工程中临时消防设施与主体结构施工进度差距不超过3层</w:t>
      </w:r>
    </w:p>
    <w:p w14:paraId="565B4698">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3.临时消防给水系统需满足持续供水要求，应急照明配置覆盖自备发电机房、无天然采光作业场所等关键区域，疏散通道照度≥3.0Lx，临时避难场所≥10.0Lx，蓄电池连续供电时间超100m在建工程≥1.5h，其他≥1.0h。</w:t>
      </w:r>
    </w:p>
    <w:p w14:paraId="06B0089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4.在建工程各结构层均设消火栓接口及消防软管卷盘接口，多层建筑间距≤50m，高层建筑≤30m，</w:t>
      </w:r>
      <w:r>
        <w:rPr>
          <w:rFonts w:hint="eastAsia" w:ascii="仿宋_GB2312" w:hAnsi="仿宋" w:eastAsia="仿宋_GB2312" w:cs="仿宋"/>
          <w:color w:val="FF0000"/>
          <w:kern w:val="0"/>
          <w:sz w:val="32"/>
          <w:szCs w:val="32"/>
        </w:rPr>
        <w:t>接口位置明显易操作</w:t>
      </w:r>
      <w:r>
        <w:rPr>
          <w:rFonts w:hint="eastAsia" w:ascii="仿宋_GB2312" w:hAnsi="仿宋" w:eastAsia="仿宋_GB2312" w:cs="仿宋"/>
          <w:kern w:val="0"/>
          <w:sz w:val="32"/>
          <w:szCs w:val="32"/>
        </w:rPr>
        <w:t>，配备不少于2套消防水枪和水带；</w:t>
      </w:r>
      <w:r>
        <w:rPr>
          <w:rFonts w:hint="eastAsia" w:ascii="仿宋_GB2312" w:hAnsi="仿宋" w:eastAsia="仿宋_GB2312" w:cs="仿宋"/>
          <w:b/>
          <w:kern w:val="0"/>
          <w:sz w:val="32"/>
          <w:szCs w:val="32"/>
        </w:rPr>
        <w:t>当消火栓栓口动压大于0.50MPa时，应设置减压装置。</w:t>
      </w:r>
    </w:p>
    <w:p w14:paraId="2A474F3F">
      <w:pPr>
        <w:spacing w:line="560" w:lineRule="exact"/>
        <w:ind w:firstLine="640" w:firstLineChars="200"/>
        <w:rPr>
          <w:rFonts w:hint="eastAsia" w:ascii="方正楷体_GB2312" w:hAnsi="方正楷体_GB2312" w:eastAsia="方正楷体_GB2312" w:cs="方正楷体_GB2312"/>
          <w:kern w:val="0"/>
          <w:sz w:val="32"/>
          <w:szCs w:val="32"/>
        </w:rPr>
      </w:pPr>
      <w:r>
        <w:rPr>
          <w:rFonts w:hint="eastAsia" w:ascii="方正楷体_GB2312" w:hAnsi="方正楷体_GB2312" w:eastAsia="方正楷体_GB2312" w:cs="方正楷体_GB2312"/>
          <w:kern w:val="0"/>
          <w:sz w:val="32"/>
          <w:szCs w:val="32"/>
        </w:rPr>
        <w:t>（四）动火、用电、用气管理</w:t>
      </w:r>
    </w:p>
    <w:p w14:paraId="0CB7E00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1.建立动火作业安全管理制度，明确管理部门和管理责任人，严格动火作业内部审批。</w:t>
      </w:r>
    </w:p>
    <w:p w14:paraId="051B4D76">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2.动火操作人员应具有相应资格。动火作业应配备灭火器材及1名监护人；</w:t>
      </w:r>
      <w:r>
        <w:rPr>
          <w:rFonts w:hint="eastAsia" w:ascii="仿宋_GB2312" w:hAnsi="仿宋" w:eastAsia="仿宋_GB2312" w:cs="仿宋"/>
          <w:b/>
          <w:kern w:val="0"/>
          <w:sz w:val="32"/>
          <w:szCs w:val="32"/>
        </w:rPr>
        <w:t>动火作业完毕后对现场实施不少于30分钟的监护，确认无遗留火种后方可离开。</w:t>
      </w:r>
      <w:r>
        <w:rPr>
          <w:rFonts w:hint="eastAsia" w:ascii="仿宋_GB2312" w:hAnsi="仿宋" w:eastAsia="仿宋_GB2312" w:cs="仿宋"/>
          <w:color w:val="FF0000"/>
          <w:kern w:val="0"/>
          <w:sz w:val="32"/>
          <w:szCs w:val="32"/>
        </w:rPr>
        <w:t>动火作业应严格落实"一会三卡"制度（作业前安全会、作业卡、风险卡、应急处置卡），建设、监理、施工单位需对临时消防设施进行联合验收，并建立设施维护台账定期检查测试。</w:t>
      </w:r>
    </w:p>
    <w:p w14:paraId="03774937">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人员密集场所营业期间严禁动火；宾馆、医院等连续运营场所动火需设视频监控与人员巡查结合的监测预警措施；厂房和仓库内的动火作业应优先安排在不存放任何可燃物的固定动火作业场进行；地下工程动火需按规定进行防火分隔，设置临时应急照明和疏散指示标志。</w:t>
      </w:r>
    </w:p>
    <w:p w14:paraId="12406FF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3.五级及以上风力时停止室外动火，确需作业需采取挡风措施；焊接、切割作业需设置不燃材料接火装置，防范火花、熔渣引发火灾。</w:t>
      </w:r>
    </w:p>
    <w:p w14:paraId="4D13236D">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w:t>
      </w:r>
      <w:r>
        <w:rPr>
          <w:rFonts w:hint="eastAsia" w:ascii="仿宋_GB2312" w:hAnsi="仿宋" w:eastAsia="仿宋_GB2312" w:cs="仿宋"/>
          <w:color w:val="FF0000"/>
          <w:kern w:val="0"/>
          <w:sz w:val="32"/>
          <w:szCs w:val="32"/>
        </w:rPr>
        <w:t>动火作业应执行“六必须”。必须严格审批管理、必须人员持证上岗、必须确保设备完好（使用加芯赋码电焊机）、必须清理周边可燃物、必须采取可靠阻隔措施、必须严格管控易燃易爆物质；人员密集场所营业期间严禁动火作业，不得在使用期间进行动火作业；遇异常情况应立即停止动火作业。</w:t>
      </w:r>
    </w:p>
    <w:p w14:paraId="7242F33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5.用电设施符合防爆、绝缘要求，配电屏2m内不堆放可燃物，5m内无易燃气体、粉尘作业区；可燃材料库房不使用高热灯具，易燃易爆危险品库房使用防爆灯具，严禁私拉乱接电线。</w:t>
      </w:r>
      <w:r>
        <w:rPr>
          <w:rFonts w:hint="eastAsia" w:ascii="仿宋_GB2312" w:hAnsi="仿宋" w:eastAsia="仿宋_GB2312" w:cs="仿宋"/>
          <w:color w:val="FF0000"/>
          <w:kern w:val="0"/>
          <w:sz w:val="32"/>
          <w:szCs w:val="32"/>
        </w:rPr>
        <w:t>爆炸危险场所的电气设备需符合《爆炸危险环境电力装置设计规范》GB50058的要求；严格禁止在配电箱、线路周边违规动火，需设置禁火标识、落实专人巡查。</w:t>
      </w:r>
    </w:p>
    <w:p w14:paraId="0D7AB23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6.气瓶运输、存放、使用符合规定，氧气瓶与乙炔瓶工作间距≥5m，与明火距离≥10m，分类储存，空瓶与实瓶间距≥1.5m，燃气储装瓶罐设置防静电装置。</w:t>
      </w:r>
      <w:bookmarkStart w:id="10" w:name="OLE_LINK9"/>
    </w:p>
    <w:p w14:paraId="3714E631">
      <w:pPr>
        <w:spacing w:line="560" w:lineRule="exact"/>
        <w:ind w:firstLine="640" w:firstLineChars="200"/>
        <w:rPr>
          <w:rFonts w:hint="eastAsia" w:ascii="仿宋_GB2312" w:hAnsi="仿宋" w:eastAsia="仿宋_GB2312" w:cs="仿宋"/>
          <w:color w:val="FF0000"/>
          <w:kern w:val="0"/>
          <w:sz w:val="32"/>
          <w:szCs w:val="32"/>
        </w:rPr>
      </w:pPr>
      <w:r>
        <w:rPr>
          <w:rFonts w:hint="eastAsia" w:ascii="仿宋_GB2312" w:hAnsi="仿宋" w:eastAsia="仿宋_GB2312" w:cs="仿宋"/>
          <w:color w:val="FF0000"/>
          <w:kern w:val="0"/>
          <w:sz w:val="32"/>
          <w:szCs w:val="32"/>
        </w:rPr>
        <w:t>7.气瓶应配备齐全安全附件：①气瓶瓶体应套装防震圈（橡胶或软质材料，不少于2个）；②气瓶不使用时应旋紧安全帽（瓶帽），保护瓶阀不受碰撞；③使用时必须安装与气体介质匹配的减压阀（调压器），安装前检查密封圈完好；④乙炔气瓶必须在乙炔减压阀出口与焊割炬连接软管之间安装止回阀（回火防止器），防止回火引燃气瓶。</w:t>
      </w:r>
    </w:p>
    <w:p w14:paraId="37CFAE55">
      <w:pPr>
        <w:spacing w:line="560" w:lineRule="exact"/>
        <w:ind w:firstLine="640" w:firstLineChars="200"/>
        <w:rPr>
          <w:rFonts w:hint="eastAsia" w:ascii="仿宋_GB2312" w:hAnsi="仿宋" w:eastAsia="仿宋_GB2312" w:cs="仿宋"/>
          <w:color w:val="FF0000"/>
          <w:kern w:val="0"/>
          <w:sz w:val="32"/>
          <w:szCs w:val="32"/>
        </w:rPr>
      </w:pPr>
      <w:r>
        <w:rPr>
          <w:rFonts w:hint="eastAsia" w:ascii="仿宋_GB2312" w:hAnsi="仿宋" w:eastAsia="仿宋_GB2312" w:cs="仿宋"/>
          <w:color w:val="FF0000"/>
          <w:kern w:val="0"/>
          <w:sz w:val="32"/>
          <w:szCs w:val="32"/>
        </w:rPr>
        <w:t>8.液化气钢瓶必须直立使用，严禁倒置或卧放；放置地点应通风良好，与热源、明火距离不得小于1m；严禁用明火、热水等对气罐加热；钢瓶使用年限不超过8年，定期送检，严禁超量充装；地下、半地下及封闭空间内禁止使用液化石油气；气罐附近应配置适用于B类（液体）火灾的灭火器。</w:t>
      </w:r>
    </w:p>
    <w:bookmarkEnd w:id="10"/>
    <w:p w14:paraId="355FC620">
      <w:pPr>
        <w:spacing w:line="560" w:lineRule="exact"/>
        <w:ind w:firstLine="640" w:firstLineChars="200"/>
        <w:rPr>
          <w:rFonts w:hint="eastAsia" w:ascii="方正楷体_GB2312" w:hAnsi="方正楷体_GB2312" w:eastAsia="方正楷体_GB2312" w:cs="方正楷体_GB2312"/>
          <w:kern w:val="0"/>
          <w:sz w:val="32"/>
          <w:szCs w:val="32"/>
        </w:rPr>
      </w:pPr>
      <w:r>
        <w:rPr>
          <w:rFonts w:hint="eastAsia" w:ascii="方正楷体_GB2312" w:hAnsi="方正楷体_GB2312" w:eastAsia="方正楷体_GB2312" w:cs="方正楷体_GB2312"/>
          <w:kern w:val="0"/>
          <w:sz w:val="32"/>
          <w:szCs w:val="32"/>
        </w:rPr>
        <w:t>（五）应急处置与信息化管理</w:t>
      </w:r>
    </w:p>
    <w:p w14:paraId="36408BE6">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1.编制消防应急预案，明确智能消防设施操作、初期火灾扑救、人员疏散等流程，每半年至少组织1次全员演练并记录存档；发生火灾后1小时内上报相关单位，严禁迟报、瞒报。</w:t>
      </w:r>
    </w:p>
    <w:p w14:paraId="6543BAF6">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2.采用信息化消防安全管理技术，对动火作业、消防设施运行等关键环节实施动态监控，建立电子台账，实现隐患排查、整改闭环的数字化管理。</w:t>
      </w:r>
    </w:p>
    <w:p w14:paraId="72686959">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3.高度超100m的在建工程设置临时避难场所，结合永久避难层（间）设置，配备灭火器、室内消火栓、应急照明及通信设施，距离施工作业面垂直距离≤50m。</w:t>
      </w:r>
    </w:p>
    <w:p w14:paraId="2A9E7072">
      <w:pPr>
        <w:spacing w:line="560" w:lineRule="exact"/>
        <w:ind w:firstLine="640" w:firstLineChars="200"/>
        <w:rPr>
          <w:rFonts w:hint="eastAsia" w:ascii="黑体" w:hAnsi="黑体" w:eastAsia="黑体" w:cs="黑体"/>
          <w:kern w:val="0"/>
          <w:sz w:val="32"/>
          <w:szCs w:val="32"/>
        </w:rPr>
      </w:pPr>
      <w:r>
        <w:rPr>
          <w:rFonts w:hint="eastAsia" w:ascii="黑体" w:hAnsi="黑体" w:eastAsia="黑体" w:cs="黑体"/>
          <w:kern w:val="0"/>
          <w:sz w:val="32"/>
          <w:szCs w:val="32"/>
        </w:rPr>
        <w:t>三、常见问题</w:t>
      </w:r>
    </w:p>
    <w:p w14:paraId="1B4C9BA9">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1.责任落实不到位，未明确消防安全责任人或责任人履职缺位，总包对分包未实施统一管理；</w:t>
      </w:r>
    </w:p>
    <w:p w14:paraId="64FC587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2.制度不健全，动火审批流于形式，消防设施缺乏维护保养；</w:t>
      </w:r>
    </w:p>
    <w:p w14:paraId="3FDBB928">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3.教育培训与演练缺失，作业人员未经培训、不掌握基本消防技能，应急演练缺乏实操内容；</w:t>
      </w:r>
    </w:p>
    <w:p w14:paraId="6B5B1622">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4.防火档案管理混乱，巡查检查记录不规范，问题未闭环整改，无法追根溯源；</w:t>
      </w:r>
    </w:p>
    <w:p w14:paraId="206D180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5.消防车道被占用，现场常因建筑材料、大型机械或施工车辆长期占用，导致消防车无法通行；</w:t>
      </w:r>
    </w:p>
    <w:p w14:paraId="144094C0">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6.临时用房彩钢板违规使用。宿舍、办公楼等采用聚苯乙烯（EPS）夹芯彩钢板搭设，芯材燃烧性能未达A级，材料极易燃烧且产生大量有毒烟气；进场时未进行燃烧性能验收，无检测报告，无法核实材料合规性；</w:t>
      </w:r>
    </w:p>
    <w:p w14:paraId="0C973E0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7.灭火器配置数量不足，部分灭火器过期失效或压力不足，被遮挡、锁存，紧急情况下难以快速取用；</w:t>
      </w:r>
    </w:p>
    <w:p w14:paraId="21344A52">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8.高层在建工程消防给水不到位，建筑高度超过24m的在建工程未按规定设置临时室内消防给水系统，楼层内无水源可用；消防水箱（池）容积或蓄水量不足，无法保障持续供水；</w:t>
      </w:r>
    </w:p>
    <w:p w14:paraId="6E13FE35">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9.应急照明与疏散标志缺失，疏散通道、安全出口未设置应急照明，夜间或断电后人员无法辨别方向；疏散指示标志缺失、安装不当或损坏未更换；</w:t>
      </w:r>
    </w:p>
    <w:p w14:paraId="100C2FF7">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10.未办理动火许可证擅自进行焊割作业，动火证审批未按级别对应。动火作业现场无专人全过程监护，周边5m内可燃物未清除，高处焊割下方未采取防火隔离措施；</w:t>
      </w:r>
    </w:p>
    <w:p w14:paraId="3E98E22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11.气瓶存放与使用违规，氧气瓶与乙炔瓶混放且间距不足5m，气瓶卧放使用、缺少固定措施；</w:t>
      </w:r>
    </w:p>
    <w:p w14:paraId="0A29FB8C">
      <w:pPr>
        <w:pStyle w:val="2"/>
        <w:ind w:firstLine="320" w:firstLineChars="100"/>
        <w:rPr>
          <w:rFonts w:hint="eastAsia"/>
        </w:rPr>
      </w:pPr>
      <w:r>
        <w:rPr>
          <w:rFonts w:hint="eastAsia" w:ascii="仿宋_GB2312" w:hAnsi="仿宋" w:eastAsia="仿宋_GB2312"/>
          <w:kern w:val="0"/>
          <w:sz w:val="32"/>
          <w:szCs w:val="32"/>
        </w:rPr>
        <w:t>12.工人在宿舍内私拉乱接电线，违规使用明火取暖。</w:t>
      </w:r>
      <w:r>
        <w:rPr>
          <w:rFonts w:hint="eastAsia" w:ascii="仿宋_GB2312" w:eastAsia="仿宋_GB2312"/>
          <w:kern w:val="0"/>
        </w:rPr>
        <w:br w:type="page"/>
      </w:r>
      <w:r>
        <w:rPr>
          <w:rFonts w:hint="eastAsia"/>
        </w:rPr>
        <w:t>高处作业吊篮安全监督交底（朱达立）</w:t>
      </w:r>
    </w:p>
    <w:p w14:paraId="07A3CE81">
      <w:pPr>
        <w:spacing w:line="520" w:lineRule="exact"/>
        <w:ind w:firstLine="643" w:firstLineChars="200"/>
        <w:rPr>
          <w:rFonts w:hint="eastAsia" w:ascii="仿宋" w:hAnsi="仿宋" w:eastAsia="仿宋" w:cs="仿宋"/>
          <w:b/>
          <w:bCs/>
          <w:color w:val="000000"/>
          <w:sz w:val="32"/>
          <w:szCs w:val="32"/>
        </w:rPr>
      </w:pPr>
    </w:p>
    <w:p w14:paraId="3235D786">
      <w:pPr>
        <w:spacing w:line="520" w:lineRule="exact"/>
        <w:ind w:firstLine="643" w:firstLineChars="200"/>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一、主要依据</w:t>
      </w:r>
    </w:p>
    <w:p w14:paraId="5699ED0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中华人民共和国安全生产法》《建设工程安全生产管理条例》《建筑施工安全检查标准》（JGJ59-2011）《建筑施工工具式脚手架安全技术规范》（JGJ202-2010）《高处作业吊篮》（GB/T19155-2017）《高处作业吊篮安装、拆卸、使用技术规程》（JB/T 11699-2025）《建筑施工高处作业安全技术规范》（JGJ80-2016）《建筑施工升降设备设施检验标准》（JGJ305-2013）《危险性较大的分部分项工程安全管理规定》（住建部令第37号） 《住房城乡建设部办公厅关于实施〈危险性较大的分部分项工程安全管理规定〉有关问题的通知》（建办质〔2018〕31号）《危大工程专项施工方案编制指南》（建办质〔2021〕48号）《危险性较大的分部分项工程专项施工方案严重缺陷清单（试行）》（建办质〔2024〕63号）《湖南省住房和城乡建设厅关于加强房屋市政工程开工安全生产条件审查的通知》（湘建建〔2024〕124号）等相关规定。</w:t>
      </w:r>
    </w:p>
    <w:p w14:paraId="6A27B621">
      <w:pPr>
        <w:spacing w:line="520" w:lineRule="exact"/>
        <w:ind w:firstLine="643" w:firstLineChars="200"/>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二、管控重点</w:t>
      </w:r>
    </w:p>
    <w:p w14:paraId="108308DA">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1.施工总包单位对吊篮安全管理负总责，专业分包单位承担直接责任，签订安全管理协议，明确各方管理职责与考核标准。</w:t>
      </w:r>
    </w:p>
    <w:p w14:paraId="0DF74626">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2.吊篮必须编制专项施工方案并履行审批手续；后支座超高、无法设置前支座等特殊工况，方案中需单独制定专项加固及稳定措施。</w:t>
      </w:r>
    </w:p>
    <w:p w14:paraId="624AE70F">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3.吊篮进场查验产品合格证、型式检验报告、使用说明书，安全锁有效标定期≤1年，防坠安全器每年标定1次，资料不全严禁进场。</w:t>
      </w:r>
    </w:p>
    <w:p w14:paraId="6E8F20AF">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4.吊篮安装完毕经安装单位自检→第三方检测→总包、监理、租赁、安拆、使用单位联合验收合格，挂牌（验收合格牌、限载牌）后方可使用。</w:t>
      </w:r>
    </w:p>
    <w:p w14:paraId="03E5CB8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5.安拆人员持有效特种作业操作证，操作人员经专项培训考核合格，作业前完成签字式安全技术交底，每日开展班前检查并留存记录。 </w:t>
      </w:r>
    </w:p>
    <w:p w14:paraId="21BE519D">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6.悬挂机构必须固定在建筑主体承重结构上，无法设置前支座或直接放置在剪力墙上时，需采用专用夹具、斜撑等刚性稳定措施，严禁无措施直接搁置；后支座超高时，增设剪刀撑、水平连接杆等加固措施，确保结构刚度。</w:t>
      </w:r>
    </w:p>
    <w:p w14:paraId="1D4DBDC4">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7.前支架与支撑面垂直、配重数量/重量符合设计要求，采用专用夹具固定并设置防挪移、防拆除警示，严禁用砖块、钢筋等替代，配重块应有永久性重量标识。</w:t>
      </w:r>
    </w:p>
    <w:p w14:paraId="4A75D7DA">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8.工作钢丝绳与安全钢丝绳分别独立悬挂，外观无锈蚀、断丝、断股、扭曲、打结，直径偏差符合规范。 </w:t>
      </w:r>
    </w:p>
    <w:p w14:paraId="25E6A342">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9.安全锁灵敏有效；安装上限位、极限限位装置及限位挡板，动作灵敏可靠，严禁限位失效使用。</w:t>
      </w:r>
    </w:p>
    <w:p w14:paraId="1C11E562">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10.单独设置安全绳及自锁器，固定在建筑可靠结构上，不得与吊篮机构连接；转角/尖锐部位做防磨损保护，安全钢丝绳下端安装标准重锤，重锤底部距地面100-200mm，严禁缺失、用杂物替代。 </w:t>
      </w:r>
    </w:p>
    <w:p w14:paraId="7599A23C">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11.吊篮平台严禁超载、超员、擅自改装，限载2人并设置明显限载限人标识，与墙面间距100-200mm，通道宽度≥400mm。 </w:t>
      </w:r>
    </w:p>
    <w:p w14:paraId="21F1DC7F">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12.作业人员必须佩戴安全帽、系安全带，安全带全程挂在独立安全绳自锁器上，严禁挂在吊篮、钢丝绳或非承重结构上。 </w:t>
      </w:r>
    </w:p>
    <w:p w14:paraId="56A4C1FC">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13.严禁5级及以上大风、雨雪、大雾、沙尘天气开展安拆及升降作业；作业下方设置封闭警戒区、悬挂警示标识，安排专人旁站监护，严禁交叉作业。 </w:t>
      </w:r>
    </w:p>
    <w:p w14:paraId="09B2D630">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14.严禁将吊篮用作垂直运输设备，严禁人员从建筑物窗口、空中进出吊篮或跨平台移动，吊篮内严禁放置易燃易爆品。</w:t>
      </w:r>
    </w:p>
    <w:p w14:paraId="2CCFA9A9">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15.利用吊篮进行电焊作业时，对吊篮设备、钢丝绳、电缆采取保护措施。 </w:t>
      </w:r>
    </w:p>
    <w:p w14:paraId="35AC710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16.电气系统设置漏电保护器、相序继电器、红色非自动复位急停开关，电缆线做防碾压、防磨损保护，绝缘电阻≥0.5MΩ。 </w:t>
      </w:r>
    </w:p>
    <w:p w14:paraId="337972C3">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17.提升机、安全锁与平台连接采用专用高强度螺栓，紧固到位并加装垫圈；悬挂机构所有连接节点螺栓不得松动、缺失、螺栓伸出螺母长度不应少于3扣。 </w:t>
      </w:r>
    </w:p>
    <w:p w14:paraId="55346C6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18.按求建立吊篮每日检查、每月维保、定期检测台账，对锈蚀钢丝绳、变形构件及时更换，检查维保记录经相关人员签字存档。</w:t>
      </w:r>
    </w:p>
    <w:p w14:paraId="57302CF2">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19.吊篮暂停使用或下班停放时，必须降至地面或可靠楼层结构面，严禁悬于空中或停放在悬挑板等不稳定位置。</w:t>
      </w:r>
    </w:p>
    <w:p w14:paraId="6E392537">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20.编制吊篮专项应急救援预案，明确设备故障、人员坠落、钢丝绳断裂等场景处置流程，每半年至少组织1次应急演练，故障处置时严禁冒险攀爬，使用应急下降装置撤离。</w:t>
      </w:r>
    </w:p>
    <w:p w14:paraId="21559F00">
      <w:pPr>
        <w:spacing w:line="520" w:lineRule="exact"/>
        <w:ind w:firstLine="643" w:firstLineChars="200"/>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三、常见问题</w:t>
      </w:r>
    </w:p>
    <w:p w14:paraId="6CC18BC1">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1.未编制吊篮专项施工方案，或方案无特殊工况（后支座超高、无法设置前支座）专项措施，审批程序不合规。 </w:t>
      </w:r>
    </w:p>
    <w:p w14:paraId="581B5343">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2.未履行安装自检、第三方检测、联合验收程序，未验收合格即使用，未设置验收合格牌、限载牌，安全警示标识缺失/模糊。 </w:t>
      </w:r>
    </w:p>
    <w:p w14:paraId="2B561DC3">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3.安拆人员无特种作业操作证或证件过期，操作人员未培训、无签字交底记录，未开展班前检查或检查记录不全。</w:t>
      </w:r>
    </w:p>
    <w:p w14:paraId="21C09550">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4.吊篮产品合格证、型式检验报告缺失，安全锁超期未标定、无产品标牌，防坠安全器未按年度标定。 </w:t>
      </w:r>
    </w:p>
    <w:p w14:paraId="742CDEDF">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5.悬挂机构后支座超高未采取加固措施，刚度不足易失稳；无法设置前支座直接搁置在剪力墙上，未安装专用夹具、斜撑等刚性稳定措施。 </w:t>
      </w:r>
    </w:p>
    <w:p w14:paraId="786F15C8">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6.前支架缺失/与支撑面不垂直，横梁直接搁置在女儿墙、飘窗板、脚手架等非承重结构上。</w:t>
      </w:r>
    </w:p>
    <w:p w14:paraId="58A394C3">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7.配重数量不足、用砖块/钢筋/砂石替代，未设置防挪移/防拆除措施，配重块无永久重量标识。 </w:t>
      </w:r>
    </w:p>
    <w:p w14:paraId="168EE777">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8.钢丝绳普遍锈蚀、存在断丝/断股/扭曲/打结，工作绳与安全绳固定点未独立设置，钢丝绳直径偏差超标。</w:t>
      </w:r>
    </w:p>
    <w:p w14:paraId="035285E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9.钢丝绳绳端固定不规范，单用U形绳夹固定、绳卡间距/数量/方向不符合规范，未采用金属压制接头/自紧楔型接头等标准形式。</w:t>
      </w:r>
    </w:p>
    <w:p w14:paraId="0FE83901">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10.安全钢丝绳未安装重锤，或重锤用杂物替代、设置高度不符合要求，钢丝绳松脱易脱离安全锁。</w:t>
      </w:r>
    </w:p>
    <w:p w14:paraId="5ADF8A6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11.安全锁损坏/失效/倾斜锁绳功能异常，安全锁超期未标定、无有效标识。</w:t>
      </w:r>
    </w:p>
    <w:p w14:paraId="4CCE1E69">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12.上限位、极限限位开关缺失/失效，未设置限位挡板，存在吊篮冒顶风险。</w:t>
      </w:r>
    </w:p>
    <w:p w14:paraId="1A717F6F">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13.未单独设置安全绳，或安全绳固定在吊篮机构、管道、脚手架等不可靠部位；转角处无防磨损保护、钢丝绳破损老化。</w:t>
      </w:r>
    </w:p>
    <w:p w14:paraId="0F327E46">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14.提升机、安全锁与平台连接未使用高强度螺栓，螺栓松动/缺失/长度不足，悬挂机构连接节点未紧固、垫圈缺失。</w:t>
      </w:r>
    </w:p>
    <w:p w14:paraId="1F22F8B5">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15.吊篮平台超载/超员/擅自改装加长，无限载限人标识，平台变形/锈蚀/工作面未设立面保护装置。</w:t>
      </w:r>
    </w:p>
    <w:p w14:paraId="1BABF0DA">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16.作业人员未佩戴安全帽、未系安全带，或安全带挂设不规范（挂在吊篮/钢丝绳上）、未使用自锁器。 </w:t>
      </w:r>
    </w:p>
    <w:p w14:paraId="2E439E68">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17.从建筑物窗口、空中进出吊篮，跨平台移动，违规将吊篮用作垂直运输设备运送材料/设备。</w:t>
      </w:r>
    </w:p>
    <w:p w14:paraId="7320D2FF">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18.作业下方未设置封闭警戒区、无专人旁站监护，存在交叉作业风险，高空坠物防护措施缺失。</w:t>
      </w:r>
    </w:p>
    <w:p w14:paraId="4D4B6AF6">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19.5级及以上大风、雨雪、大雾等恶劣天气违规开展安拆及升降作业。 </w:t>
      </w:r>
    </w:p>
    <w:p w14:paraId="61532F9D">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20.电气系统无漏电保护器/相序继电器，急停开关缺失/失效/无红色“急停”标识，电缆线破损、无防碾压保护。</w:t>
      </w:r>
    </w:p>
    <w:p w14:paraId="4F56887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21.钢丝绳防脱装置缺失/失效，运行中易卡绳、脱槽，钢丝绳与结构/构件摩擦无防护措施。</w:t>
      </w:r>
    </w:p>
    <w:p w14:paraId="45BEA67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22.吊篮停放时悬于空中，或停放在悬挑板、飘窗等不稳定位置，存在倾覆、坠落风险。</w:t>
      </w:r>
    </w:p>
    <w:p w14:paraId="3E05A7AE">
      <w:pPr>
        <w:jc w:val="left"/>
        <w:rPr>
          <w:rFonts w:hint="eastAsia" w:ascii="仿宋" w:hAnsi="仿宋" w:eastAsia="仿宋" w:cs="仿宋"/>
          <w:color w:val="000000"/>
          <w:sz w:val="32"/>
          <w:szCs w:val="32"/>
        </w:rPr>
      </w:pPr>
      <w:r>
        <w:rPr>
          <w:rFonts w:hint="eastAsia" w:ascii="仿宋" w:hAnsi="仿宋" w:eastAsia="仿宋" w:cs="仿宋"/>
          <w:color w:val="000000"/>
          <w:sz w:val="32"/>
          <w:szCs w:val="32"/>
        </w:rPr>
        <w:br w:type="page"/>
      </w:r>
    </w:p>
    <w:p w14:paraId="79FEA6BC">
      <w:pPr>
        <w:pStyle w:val="2"/>
        <w:rPr>
          <w:rFonts w:hint="eastAsia"/>
        </w:rPr>
      </w:pPr>
      <w:r>
        <w:rPr>
          <w:rFonts w:hint="eastAsia"/>
        </w:rPr>
        <w:t>悬臂施工挂篮工程安全监督交底（朱懿武）</w:t>
      </w:r>
    </w:p>
    <w:p w14:paraId="394F630C">
      <w:pPr>
        <w:pStyle w:val="2"/>
        <w:ind w:firstLine="643" w:firstLineChars="200"/>
        <w:jc w:val="both"/>
        <w:rPr>
          <w:rFonts w:hint="eastAsia" w:ascii="仿宋" w:hAnsi="仿宋" w:eastAsia="仿宋" w:cs="华文仿宋"/>
          <w:b/>
          <w:bCs w:val="0"/>
          <w:sz w:val="32"/>
          <w:szCs w:val="32"/>
        </w:rPr>
      </w:pPr>
    </w:p>
    <w:p w14:paraId="35979ACD">
      <w:pPr>
        <w:pStyle w:val="2"/>
        <w:spacing w:line="560" w:lineRule="exact"/>
        <w:ind w:firstLine="643" w:firstLineChars="200"/>
        <w:jc w:val="both"/>
        <w:rPr>
          <w:rFonts w:hint="eastAsia" w:ascii="仿宋" w:hAnsi="仿宋" w:eastAsia="仿宋" w:cs="华文仿宋"/>
          <w:b/>
          <w:bCs w:val="0"/>
          <w:sz w:val="32"/>
          <w:szCs w:val="32"/>
        </w:rPr>
      </w:pPr>
      <w:r>
        <w:rPr>
          <w:rFonts w:hint="eastAsia" w:ascii="仿宋" w:hAnsi="仿宋" w:eastAsia="仿宋" w:cs="华文仿宋"/>
          <w:b/>
          <w:bCs w:val="0"/>
          <w:sz w:val="32"/>
          <w:szCs w:val="32"/>
        </w:rPr>
        <w:t>一、主要依据</w:t>
      </w:r>
    </w:p>
    <w:p w14:paraId="141A8357">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中华人民共和国建筑法》《中华人民共和国安全生产法》《建设工程安全生产管理条例》《湖南省建设工程质量和安全生产管理条例》《房屋建筑和市政基础设施工程施工安全监督规定》《房屋建筑和市政基础设施工程施工安全监督工作规程》《危险性较大的分部分项工程安全管理规定》（住房城乡建设部令第37号）《建筑施工特种作业人员管理规定》《建筑施工企业、工程项目安全生产管理机构设置及安全生产管理人员配备办法》《房屋市政工程生产安全重大事故隐患判定标准（2024版）》《城市桥梁工程施工与质量验收规范》（CJJ2-2008）《公路桥涵施工技术规范》（JTG/T3650-2020）《钢结构设计标准》（GB 50017-2017）《桥梁悬臂浇筑施工技术标准》（CJJ/T 281-2018）《建筑施工高处作业安全技术规范》（JGJ 80-2016）《钢结构焊接规范》（GB50661-2011）《市政工程施工安全检查标准》（CJJ/T 275-2018）《住房城乡建设部办公厅关于实施〈危险性较大的分部分项工程安全管理规定〉有关问题的通知》（建办质〔2018〕31号）《危大工程专项施工方案编制指南》（建办质〔2021〕48号）《危险性较大的分部分项工程专项施工方案严重缺陷清单（试行）》（建办质〔2024〕63号）《房屋建筑和市政基础设施工程危及生产安全施工工艺、设备和材料淘汰目录（第一批）》（住建部公告2021年第214号）《湖南省建筑工程开工安全生产条件审查制度》《湖南省住房和城乡建设厅关于加强房屋市政工程开工安全生产条件审查的通知》（湘建建〔2024〕124号）《湖南省房屋市政工程施工现场关键岗位人员配备及履职管理办法》《湖南省房屋市政工程建筑施工安全质量标准化考评实施细则》《关于超规模危险性较大的分部分项工程及高边坡工程推行“一录入”“六到场”安全监督模式的通知》，其他相关法律法规和文件规定及标准规范。</w:t>
      </w:r>
    </w:p>
    <w:p w14:paraId="582D646A">
      <w:pPr>
        <w:pStyle w:val="2"/>
        <w:spacing w:line="560" w:lineRule="exact"/>
        <w:ind w:firstLine="643" w:firstLineChars="200"/>
        <w:jc w:val="both"/>
        <w:rPr>
          <w:rFonts w:hint="eastAsia" w:ascii="仿宋" w:hAnsi="仿宋" w:eastAsia="仿宋" w:cs="华文仿宋"/>
          <w:b/>
          <w:bCs w:val="0"/>
          <w:sz w:val="32"/>
          <w:szCs w:val="32"/>
        </w:rPr>
      </w:pPr>
      <w:r>
        <w:rPr>
          <w:rFonts w:hint="eastAsia" w:ascii="仿宋" w:hAnsi="仿宋" w:eastAsia="仿宋" w:cs="华文仿宋"/>
          <w:b/>
          <w:bCs w:val="0"/>
          <w:sz w:val="32"/>
          <w:szCs w:val="32"/>
        </w:rPr>
        <w:t>二、管控重点</w:t>
      </w:r>
    </w:p>
    <w:p w14:paraId="60721F1B">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（一）前期管控重点</w:t>
      </w:r>
    </w:p>
    <w:p w14:paraId="15203E88">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专项方案。施工单位应编制挂篮施工专项施工方案及应急预案，方案内容应包括挂篮设计计算书（含强度、刚度、稳定性验算）、拼装工艺、预压方案、行走程序、混凝土浇筑顺序、拆除方法及安全保障措施；专项施工方案应依据《危大工程专项施工方案编制指南》（建办质〔2021〕48号）相关要求进行编制，不得出现《危险性较大的分部分项工程专项施工方案严重缺陷清单（试行）》（建办质〔2024〕63号）所列情形，方案须经施工单位技术负责人审核、总监理工程师审批，挂篮施工属于超过一定规模的危险性较大的分部分项工程，必须组织专家论证。同时，施工单位应依据批准的图纸和实施性施工组织设计编制挂篮施工监控方案，进行结构分析复核，确定主梁施工监控目标高程和应力控制标准，建立指令、监测数据等信息传递和反馈的控制流程，结构分析的参数和结果应经设计认可。</w:t>
      </w:r>
    </w:p>
    <w:p w14:paraId="110B9437">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教育与交底。作业人员经考核合格后方可上岗，作业前必须按照规定进行方案交底、安全技术交底，明确各工序存在的风险因素、防范措施及挂篮安装、移位、拆除的工艺程序。交底应形成书面记录，并存档备查。有条件时，可辅以影像资料留存。同时，应全面落实“一会三卡”制度。</w:t>
      </w:r>
    </w:p>
    <w:p w14:paraId="0441CD4A">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 xml:space="preserve">3.工艺限制。根据住建部公告2021年第214号，桥梁悬浇配重式挂篮设备已被列入禁止类目录，自2022年9月15日起，新开工项目一律停止使用，必须改用自锚式挂篮。同时，桥梁悬浇挂篮上部与底篮的精轧螺纹钢吊杆连接工艺被列入限制类目录，有下列情形之一的，不得使用：一是前吊点连接；二是其他吊点中上下钢结构直接连接（未穿过混凝土结构）；三是与底篮连接未采用活动铰；四是吊杆未设置外保护套。应优先采用挂篮锰钢吊带连接工艺等替代技术。          </w:t>
      </w:r>
    </w:p>
    <w:p w14:paraId="6B6D320C">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（二）挂篮拼装与锚固管控重点</w:t>
      </w:r>
    </w:p>
    <w:p w14:paraId="5725EFF8">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临时固结：悬臂浇筑施工前，必须按设计要求设置墩顶梁段的临时固结措施。临时固结可采用临时支座、锚固钢筋或临时支撑等形式，其数量、位置、规格应符合设计要求。临时固结的结构和材料应满足方便、快速拆除的要求。临时固结的拆除应在体系转换时进行，不得提前拆除或松动。</w:t>
      </w:r>
    </w:p>
    <w:p w14:paraId="6573CF70">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拼装管控：拼装作业必须严格按专项方案执行，搭设拼装平台（平台需满铺脚手板、设置临边防护），拼装遵循走行系统→主桁架及横联→锚固系统→悬吊系统→模板系统→防护系统的顺序，严禁违规拼装。拼装过程中，每完成一个环节，需进行临时固定，核查构件连接质量，确保螺栓紧固、焊缝饱满，销轴安装到位、锁定可靠。</w:t>
      </w:r>
    </w:p>
    <w:p w14:paraId="26E9ED6E">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锚固管控：挂篮锚固必须按方案执行，采用精轧螺纹钢双螺母锁定，锚垫板需平整、牢固，与梁体结构可靠连接，严禁锚固点设在薄弱部位。锚固前需核查锚固件的规格、数量，锚固后需检测锚固力，确保满足设计要求。挂篮拼装完成后，需全面检查锚固系统、连接部位，排查是否存在松动、缺失等问题，确保锚固可靠。</w:t>
      </w:r>
    </w:p>
    <w:p w14:paraId="7746647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静载预压管控：挂篮拼装完成后，预压的荷载值应取悬臂浇筑最大节段重量的1.2倍。重物应对称加载，荷载分布宜与节段自重一致，不得集中堆载。挂篮加载及卸载应分级进行。加载分级宜为悬臂浇筑最大节段重量的10%、50%、100%、120%。卸载分级宜为悬臂浇筑最大节段重量的100%、50%、10%、空载。每级卸载完成后，应进行观测和记录，完成后方可进行下一级卸载。预压过程需全程旁站监督，观测挂篮的变形、焊缝受力、锚固系统稳定性，做好详细记录。发现异常情况应立即停止加载，并应分析原因，采取相应措施。预压合格后方可进入下道工序。</w:t>
      </w:r>
    </w:p>
    <w:p w14:paraId="6288D1FD">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（三）挂篮行走前移管控重点</w:t>
      </w:r>
    </w:p>
    <w:p w14:paraId="35ECCFEC">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行走前提条件：挂篮行走前，必须确认以下条件满足要求：一是梁段混凝土强度、预应力张拉达到设计要求；二是挂篮后锚固系统已按要求转换至行走状态，行走滑道平整、无障碍物，行走限位及防倾覆装置设置到位；三是天气条件符合要求，严禁在6级及以上大风（或专项方案的规定）、暴雨、浓雾等恶劣天气下进行行走作业；四是作业人员已完成安全技术交底，行走装置安装完成且检查合格。</w:t>
      </w:r>
    </w:p>
    <w:p w14:paraId="58F1519F">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行走作业管控：挂篮行走必须遵循“对称同步、缓慢平稳”的原则，两端挂篮同步前移，速度控制在规范要求范围内（一般不超过0.1m/min），严禁偏载、单侧猛移，严禁在行走过程中调整挂篮位置。行走过程中，安排专人全程监护，实时观测挂篮的变形、连接部位、锚固系统，发现异响、变形、松动等异常情况，立即停止行走，排查整改后再继续作业。行走区域严禁站人，严禁在挂篮下方进行交叉作业。</w:t>
      </w:r>
    </w:p>
    <w:p w14:paraId="3CD5262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(四）验收管控重点</w:t>
      </w:r>
    </w:p>
    <w:p w14:paraId="582503B3">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危大工程开工条件审查：挂篮施工属于超过一定规模的危险性较大的分部分项工程，开工前必须办理危大工程开工安全生产条件审查。施工单位应按照《危险性较大的分部分项工程安全管理规定》（住建部令第37号）及《湖南省住房和城乡建设厅关于加强房屋市政工程开工安全生产条件审查的通知》（湘建建〔2024〕124号）要求，由建设单位组织建设、施工、监理单位共同审查合格并填写《湖南省建筑工程开工安全生产条件审查表》，自查合格后报监理、建设单位审查，经监督机构核查通过后方可进行挂篮拼装作业。</w:t>
      </w:r>
    </w:p>
    <w:p w14:paraId="1F0BD4F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挂篮构件进场验收：挂篮构件进场时，施工单位应组织监理单位进行联合验收。验收内容包括：核查产品合格证、出厂检验报告、产品使用说明书、设计检算资料；检查构件外观质量（不得有变形、开裂、严重锈蚀等缺陷）、焊缝质量（主要受力焊缝应提供探伤报告）、关键几何尺寸。挂篮总重量不得超过设计值，且与悬浇节段重量比≤0.5，严禁现场擅自切割、改制、削弱挂篮受力构件，验收合格后方可进行拼装。</w:t>
      </w:r>
    </w:p>
    <w:p w14:paraId="23F54FD6">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挂篮拼装验收：挂篮拼装完成后，应对下列内容进行检查验收：主桁架节点连接情况（螺栓紧固力矩应符合设计要求）；锚固系统及吊挂系统的安装质量（销轴、螺栓连接是否可靠，精轧螺纹钢筋吊杆应采取可靠的防松措施）；行走系统（轨道铺设应平顺，锚固牢固，轨道接头处连接螺栓应紧固到位）；模板系统及作业平台（护栏、脚手板、安全网设置应符合规范要求）。验收合格后方可进行预压作业。</w:t>
      </w:r>
    </w:p>
    <w:p w14:paraId="15048B41">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挂篮预压验收：挂篮预压应按最大施工荷载的1.2倍进行分级加载。预压过程中应观测挂篮的变形情况，测定弹性变形和非弹性变形值。当预压荷载加至120%后，持荷时间及沉降量应符合设计要求，方可判定预压合格。预压合格后方可投入使用。</w:t>
      </w:r>
    </w:p>
    <w:p w14:paraId="6A5EED2A">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5.挂篮行走就位验收：挂篮行走到位后，必须立即进行锚固锁定。应对下列内容进行检查验收：后锚系统是否按规定安装锚固（锚杆预紧力应符合设计要求，螺母应采取可靠的防松措施）；前吊杆锚固力是否调试均匀；前端限位装置是否设置牢固；模板系统是否就位准确；挂篮的位置、标高是否符合设计要求。验收合格后方可进行钢筋绑扎和混凝土浇筑作业。严禁行走到位后未锚固锁定即进行下一步作业，严禁违规解锁锚固装置。</w:t>
      </w:r>
    </w:p>
    <w:p w14:paraId="56BD5912">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6.联合验收要求：挂篮在首次安装完成预压合格后、每次行走就位后、重要节点（如合龙段施工前）均应组织联合验收。联合验收由施工单位组织，监理单位、项目技术负责人、专职安全员参加，验收记录应存档备查。</w:t>
      </w:r>
    </w:p>
    <w:p w14:paraId="390EE833">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7.定期检查验收：挂篮在使用过程中，施工单位应建立定期检查制度。每完成一个梁段施工后，应对挂篮的主要受力构件、焊缝、吊杆、锚固系统、行走系统等进行检查，发现异常应及时处理并记录。周转使用的挂篮，在再次使用前应进行全面检查验收，主要受力焊缝应进行无损探伤检验。</w:t>
      </w:r>
    </w:p>
    <w:p w14:paraId="0BEEAC2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（五）挂篮拆除管控重点</w:t>
      </w:r>
    </w:p>
    <w:p w14:paraId="5E4EC31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1.挂篮拆除应遵循“对称、平衡、分段”的原则进行，同一T构应平衡拆除，避免结构受力突变。基本拆除顺序为：拆除模板系统→解除锚固→分段拆卸主桁架→吊运至地面。</w:t>
      </w:r>
    </w:p>
    <w:p w14:paraId="0E9EECF3">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2.挂篮底篮下降时需安排专人指挥，确保同步下降，防止倾覆。逐步释放后锚点锚固精轧螺纹钢或螺栓，防止突然卸载导致冲击。</w:t>
      </w:r>
    </w:p>
    <w:p w14:paraId="01F4E479">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3.使用汽车吊或塔吊配合拆除时，吊装前应确认吊点强度，钢丝绳安全系数不应小于6倍。</w:t>
      </w:r>
    </w:p>
    <w:p w14:paraId="2AEDA04B">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4.拆除前应清理挂篮上杂物，设置警戒区域，派专人监护，禁止无关人员进入。遇六级及以上大风、大雨等恶劣天气，立即停止拆除作业。</w:t>
      </w:r>
    </w:p>
    <w:p w14:paraId="792B28C6">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 xml:space="preserve">5.合龙段施工完成后，应按设计要求进行体系转换。体系转换前，应确认合龙段混凝土强度、预应力张拉及压浆均已达到设计要求。体系转换应按顺序逐步进行：先解除临时固结，再将永久支座锁定（或解除临时锁定），使结构受力从悬臂状态转换为连续体系。解除临时固结时应对称、缓慢进行，防止结构产生突变。体系转换过程中应进行结构变形和应力监测，确保安全。 </w:t>
      </w:r>
    </w:p>
    <w:p w14:paraId="07C8285F">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6.应急抢险及后评估。挂篮施工过程中发生险情或者事故时，施工单位应当立即采取应急处置措施，并报告工程所在地住房城乡建设主管部门及监督机构。建设、勘察、设计、监理等单位应当配合施工单位开展应急抢险工作。危大工程应急抢险结束后，建设单位应当组织勘察、设计、施工、监理等单位制定工程恢复方案，并对应急抢险工作进行后评估。</w:t>
      </w:r>
    </w:p>
    <w:p w14:paraId="24C1827B">
      <w:pPr>
        <w:pStyle w:val="2"/>
        <w:spacing w:line="560" w:lineRule="exact"/>
        <w:ind w:firstLine="643" w:firstLineChars="200"/>
        <w:jc w:val="both"/>
        <w:rPr>
          <w:rFonts w:hint="eastAsia" w:ascii="仿宋" w:hAnsi="仿宋" w:eastAsia="仿宋" w:cs="华文仿宋"/>
          <w:b/>
          <w:bCs w:val="0"/>
          <w:sz w:val="32"/>
          <w:szCs w:val="32"/>
        </w:rPr>
      </w:pPr>
      <w:r>
        <w:rPr>
          <w:rFonts w:hint="eastAsia" w:ascii="仿宋" w:hAnsi="仿宋" w:eastAsia="仿宋" w:cs="华文仿宋"/>
          <w:b/>
          <w:bCs w:val="0"/>
          <w:sz w:val="32"/>
          <w:szCs w:val="32"/>
        </w:rPr>
        <w:t>三、常见问题</w:t>
      </w:r>
    </w:p>
    <w:p w14:paraId="2EB7647A">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（一）主桁系统</w:t>
      </w:r>
    </w:p>
    <w:p w14:paraId="4C967436">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1.连接销轴采用不合格材料，导致销轴变形或断裂；</w:t>
      </w:r>
    </w:p>
    <w:p w14:paraId="42F517EE">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2.开口销设置不规范，导致销轴在使用过程中脱落；</w:t>
      </w:r>
    </w:p>
    <w:p w14:paraId="4FA3D6E8">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3.轨走轨道、前支点处混凝土面不平整，导致构件变形；</w:t>
      </w:r>
    </w:p>
    <w:p w14:paraId="5B786D21">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4.挂篮行走前或行走过程中，主桁架杆件（横联、斜撑、水平撑等）未按设计要求安装齐全，存在少杆、缺杆现象，导致桁架受力体系改变、局部失稳或整体倾覆；</w:t>
      </w:r>
    </w:p>
    <w:p w14:paraId="35FF659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5.主桁架节点连接螺栓松动、焊缝开裂或销轴磨损，导致节点承载能力下降、桁架变形过大；</w:t>
      </w:r>
    </w:p>
    <w:p w14:paraId="21E8A96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6.主桁架杆件在周转使用中发生弯曲、扭曲或局部损伤未及时修复或更换，导致杆件有效截面削弱、受力时失稳；</w:t>
      </w:r>
    </w:p>
    <w:p w14:paraId="75B75E3B">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7.主桁架与横联连接不牢固或连接件缺失，导致横向稳定性不足、桁架侧向失稳。</w:t>
      </w:r>
    </w:p>
    <w:p w14:paraId="16A6F5C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（二）悬吊系统</w:t>
      </w:r>
    </w:p>
    <w:p w14:paraId="1E2F559E">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1.前吊带采用精轧螺纹钢代替钢吊带，导致吊带承载能力不足、断裂；</w:t>
      </w:r>
    </w:p>
    <w:p w14:paraId="18F45A1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2.钢板吊带与内滑梁冲突、弯折严重或接头部位不同轴，导致吊带局部应力集中、断裂；</w:t>
      </w:r>
    </w:p>
    <w:p w14:paraId="71307646">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3.钢吊带在施工现场随意切割，导致吊带截面削弱、承载能力下降；</w:t>
      </w:r>
    </w:p>
    <w:p w14:paraId="6B36406E">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4.内、外滑梁的前后吊点（吊杆或吊带）数量不足或分布不均，导致滑梁受力过大、变形或断裂；</w:t>
      </w:r>
    </w:p>
    <w:p w14:paraId="1B52B679">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5.悬吊系统的精轧螺纹钢吊杆在使用过程中未定期检查螺母松动情况，导致吊杆受力不均或失效；</w:t>
      </w:r>
    </w:p>
    <w:p w14:paraId="4F2EF2D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6.吊杆与滑梁连接处的销轴或螺栓未设置防脱装置，导致吊杆脱落、模板下坠。</w:t>
      </w:r>
    </w:p>
    <w:p w14:paraId="5726BC08">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（三）锚固系统</w:t>
      </w:r>
    </w:p>
    <w:p w14:paraId="040852E8">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1.锚固系统精轧螺纹钢未安装保护用PVC管，导致电焊损伤后脆断;</w:t>
      </w:r>
    </w:p>
    <w:p w14:paraId="4E61332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2.精轧螺纹钢未采取双螺母锁紧等可靠防松措施，导致锚固失效；</w:t>
      </w:r>
    </w:p>
    <w:p w14:paraId="01F3FA5F">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3.锚固精轧螺纹钢预留孔位置偏差超过设计值，导致吊杆或锚杆弯曲受力、脆断；</w:t>
      </w:r>
    </w:p>
    <w:p w14:paraId="07D8BF8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4.后锚固点的锚杆数量不足或布置位置错误，导致锚固力不满足设计要求，挂篮倾覆；</w:t>
      </w:r>
    </w:p>
    <w:p w14:paraId="2137FCDB">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5.锚固系统与梁体锚固孔位偏差过大，导致锚杆弯曲受力或无法有效锚固；</w:t>
      </w:r>
    </w:p>
    <w:p w14:paraId="7BEC161E">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6.采用精轧螺纹钢吊杆连接工艺时，未按《房屋建筑和市政基础设施工程危及生产安全施工工艺、设备和材料淘汰目录（第一批）》执行，导致吊杆断裂、挂篮坠落。</w:t>
      </w:r>
    </w:p>
    <w:p w14:paraId="2B19732D">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（四）行走系统</w:t>
      </w:r>
    </w:p>
    <w:p w14:paraId="0A64415E">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1.挂篮前支点未设置限位装置，轨道锚固不牢、不平顺，导致挂篮走行中坠落；</w:t>
      </w:r>
    </w:p>
    <w:p w14:paraId="432C799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2.挂篮走行反力座加劲板与滑道锚固筋冲突，工人擅自割除加劲板，导致反力座变形失效、挂篮倾覆；</w:t>
      </w:r>
    </w:p>
    <w:p w14:paraId="1C41191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3.挂篮行走速度超过0.1米/分钟或两侧同步位移差过大，导致挂篮失稳；</w:t>
      </w:r>
    </w:p>
    <w:p w14:paraId="086BE6D7">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4.挂篮行走时单日轨道偏移量超过设计值未及时处理，导致抗倾覆系统失效；</w:t>
      </w:r>
    </w:p>
    <w:p w14:paraId="2E838007">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5.挂篮行走前未检查轨道压板、锚固螺栓是否松动，导致行走中轨道位移、挂篮走偏；</w:t>
      </w:r>
    </w:p>
    <w:p w14:paraId="05D34FAF">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6.行走限位装置的强度或刚度不足，导致挂篮超行程行走、脱轨；</w:t>
      </w:r>
    </w:p>
    <w:p w14:paraId="16A49676">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7.挂篮行走过程中未设置监护人员或监护人员擅离职守、未设置限位装置，导致挂篮冲出行走轨道。</w:t>
      </w:r>
    </w:p>
    <w:p w14:paraId="432CF4F3">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（五）底篮系统</w:t>
      </w:r>
    </w:p>
    <w:p w14:paraId="2EBDDE1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1.底篮系统在走行过程中锚固点未安装双螺母，导致锚固松脱、底篮坠落。</w:t>
      </w:r>
    </w:p>
    <w:p w14:paraId="44FD69E6">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2.施工过程中后锚未设置楔形垫块或随意支撑、锚固不牢，导致挂篮倾覆；</w:t>
      </w:r>
    </w:p>
    <w:p w14:paraId="48D4851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3.底篮纵梁或横梁的焊接节点开裂、螺栓松动，导致底篮整体性差、局部下挠；</w:t>
      </w:r>
    </w:p>
    <w:p w14:paraId="1C02390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4.底篮与挂篮主桁架的吊点连接（如前吊点、后吊点）销轴磨损或未锁定，导致底篮坠落。</w:t>
      </w:r>
    </w:p>
    <w:p w14:paraId="1C5225BF">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（六）模板系统</w:t>
      </w:r>
    </w:p>
    <w:p w14:paraId="167EDB51">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1.内、外（导）滑梁前后吊点螺母松动及吊带（杆）未打紧，导致侧模、内模下沉或翼缘板模板外撇；</w:t>
      </w:r>
    </w:p>
    <w:p w14:paraId="1BB07E7B">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2.挂篮翼缘板楔形垫块未放置或放置不规范，导致模板受力不均匀、变形。</w:t>
      </w:r>
    </w:p>
    <w:p w14:paraId="5CF0F62B">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（七）走道系统</w:t>
      </w:r>
    </w:p>
    <w:p w14:paraId="2320C662">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1、挂篮仅在前端设置防护，未按要求在两侧设置安全防护设施，导致人员坠落；</w:t>
      </w:r>
    </w:p>
    <w:p w14:paraId="3B67739F">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2、走道系统与挂篮连接点少或焊接强度不足，导致走道板在行走过程中脱落。</w:t>
      </w:r>
    </w:p>
    <w:p w14:paraId="0ACB6252">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（九）挂篮进场验收</w:t>
      </w:r>
    </w:p>
    <w:p w14:paraId="3787A92C">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1.构配件存在损伤、变形或严重锈蚀，导致承载能力不足、使用中破坏；</w:t>
      </w:r>
    </w:p>
    <w:p w14:paraId="6A71DE77">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2.挂篮出厂时未提供完整的焊缝探伤报告或报告造假，导致受力焊缝存在缺陷未发现；</w:t>
      </w:r>
    </w:p>
    <w:p w14:paraId="2D706122">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3.主要受力构件开孔处未进行加固，导致开孔部位应力集中、撕裂；</w:t>
      </w:r>
    </w:p>
    <w:p w14:paraId="4B4B306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4.挂篮关键尺寸（如主桁架中心距、节点间距）偏差超过设计允许值，导致拼装困难或受力不均；</w:t>
      </w:r>
    </w:p>
    <w:p w14:paraId="1E8C3A68">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5.采用已淘汰的配重式挂篮设备，导致抗倾覆能力不足、挂篮倾覆。</w:t>
      </w:r>
    </w:p>
    <w:p w14:paraId="04A9659A">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（十）其他</w:t>
      </w:r>
    </w:p>
    <w:p w14:paraId="71AB72CC">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1.挂篮使用过程中荷载控制不严，存在超载或冲击荷载，导致结构破坏；</w:t>
      </w:r>
    </w:p>
    <w:p w14:paraId="5960029B">
      <w:pPr>
        <w:pStyle w:val="2"/>
        <w:spacing w:line="560" w:lineRule="exact"/>
        <w:ind w:firstLine="640" w:firstLineChars="200"/>
        <w:jc w:val="both"/>
        <w:rPr>
          <w:rFonts w:hint="eastAsia" w:ascii="仿宋_GB2312" w:hAnsi="仿宋" w:eastAsia="仿宋_GB2312"/>
          <w:sz w:val="32"/>
          <w:szCs w:val="32"/>
        </w:rPr>
      </w:pPr>
      <w:r>
        <w:rPr>
          <w:rFonts w:hint="eastAsia" w:ascii="仿宋" w:hAnsi="仿宋" w:eastAsia="仿宋" w:cs="华文仿宋"/>
          <w:sz w:val="32"/>
          <w:szCs w:val="32"/>
        </w:rPr>
        <w:t>2.挂篮拆除时未按对称、平衡、分段原则进行，导致挂篮倾覆或构件坠落。</w:t>
      </w:r>
    </w:p>
    <w:p w14:paraId="5350CFF2">
      <w:pPr>
        <w:widowControl/>
        <w:jc w:val="left"/>
        <w:rPr>
          <w:rFonts w:hint="eastAsia" w:ascii="仿宋_GB2312" w:hAnsi="仿宋" w:eastAsia="仿宋_GB2312" w:cs="仿宋"/>
          <w:bCs/>
          <w:sz w:val="32"/>
          <w:szCs w:val="32"/>
        </w:rPr>
      </w:pPr>
      <w:r>
        <w:rPr>
          <w:rFonts w:hint="eastAsia" w:ascii="仿宋_GB2312" w:hAnsi="仿宋" w:eastAsia="仿宋_GB2312"/>
          <w:sz w:val="32"/>
          <w:szCs w:val="32"/>
        </w:rPr>
        <w:br w:type="page"/>
      </w:r>
    </w:p>
    <w:p w14:paraId="5E46565F">
      <w:pPr>
        <w:pStyle w:val="2"/>
        <w:rPr>
          <w:rFonts w:hint="eastAsia"/>
        </w:rPr>
      </w:pPr>
      <w:r>
        <w:rPr>
          <w:rFonts w:hint="eastAsia"/>
          <w:lang w:eastAsia="zh"/>
        </w:rPr>
        <w:t>有限空间作业安全监督交底</w:t>
      </w:r>
      <w:r>
        <w:rPr>
          <w:rFonts w:hint="eastAsia"/>
        </w:rPr>
        <w:t>（盛越）</w:t>
      </w:r>
    </w:p>
    <w:p w14:paraId="4B6C6416">
      <w:pPr>
        <w:jc w:val="center"/>
        <w:rPr>
          <w:rFonts w:hint="eastAsia" w:ascii="仿宋" w:hAnsi="仿宋" w:eastAsia="仿宋" w:cs="仿宋"/>
          <w:b/>
          <w:sz w:val="32"/>
          <w:szCs w:val="32"/>
          <w:lang w:eastAsia="zh"/>
        </w:rPr>
      </w:pPr>
    </w:p>
    <w:p w14:paraId="18487736">
      <w:pPr>
        <w:spacing w:line="560" w:lineRule="exact"/>
        <w:ind w:firstLine="643" w:firstLineChars="200"/>
        <w:rPr>
          <w:rFonts w:hint="eastAsia" w:ascii="仿宋_GB2312" w:hAnsi="仿宋" w:eastAsia="仿宋_GB2312" w:cs="仿宋"/>
          <w:b/>
          <w:bCs/>
          <w:kern w:val="0"/>
          <w:sz w:val="32"/>
          <w:szCs w:val="32"/>
        </w:rPr>
      </w:pPr>
      <w:r>
        <w:rPr>
          <w:rFonts w:hint="eastAsia" w:ascii="仿宋_GB2312" w:hAnsi="仿宋" w:eastAsia="仿宋_GB2312" w:cs="仿宋"/>
          <w:b/>
          <w:bCs/>
          <w:kern w:val="0"/>
          <w:sz w:val="32"/>
          <w:szCs w:val="32"/>
        </w:rPr>
        <w:t>一、主要依据</w:t>
      </w:r>
    </w:p>
    <w:p w14:paraId="2F121694">
      <w:pPr>
        <w:spacing w:line="560" w:lineRule="exact"/>
        <w:ind w:firstLine="640" w:firstLineChars="200"/>
        <w:rPr>
          <w:rFonts w:hint="eastAsia" w:ascii="仿宋_GB2312" w:hAnsi="仿宋_GB2312" w:eastAsia="仿宋_GB2312" w:cs="仿宋_GB2312"/>
          <w:bCs/>
          <w:sz w:val="32"/>
          <w:szCs w:val="32"/>
          <w:lang w:eastAsia="zh"/>
        </w:rPr>
      </w:pPr>
      <w:r>
        <w:rPr>
          <w:rFonts w:hint="eastAsia" w:ascii="仿宋_GB2312" w:hAnsi="仿宋" w:eastAsia="仿宋_GB2312" w:cs="仿宋"/>
          <w:kern w:val="0"/>
          <w:sz w:val="32"/>
          <w:szCs w:val="32"/>
        </w:rPr>
        <w:t>《有限空间作业安全技术规范》（GB46768-2025）《建筑与市政施工现场安全卫生与职业健康通用规范》（</w:t>
      </w:r>
      <w:r>
        <w:rPr>
          <w:rFonts w:hint="eastAsia" w:ascii="仿宋_GB2312" w:hAnsi="仿宋" w:eastAsia="仿宋_GB2312" w:cs="仿宋"/>
          <w:kern w:val="0"/>
          <w:sz w:val="32"/>
          <w:szCs w:val="32"/>
          <w:lang w:eastAsia="zh"/>
        </w:rPr>
        <w:t>GB 55034-2022</w:t>
      </w: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《建筑施工安全检查标准》（JGJ59—2011）《市政工程施工安全检查标准》（CJJ/T275—2018）《房屋市政工程生产安全重大事故隐患判定</w:t>
      </w:r>
      <w:r>
        <w:rPr>
          <w:rFonts w:hint="eastAsia" w:ascii="仿宋_GB2312" w:hAnsi="仿宋_GB2312" w:eastAsia="仿宋_GB2312" w:cs="仿宋_GB2312"/>
          <w:bCs/>
          <w:sz w:val="32"/>
          <w:szCs w:val="32"/>
          <w:lang w:eastAsia="zh"/>
        </w:rPr>
        <w:t>标准（2024版）》《房屋市政工程有限空间识别及施工安全作业指南（试行）》等相关规定。</w:t>
      </w:r>
    </w:p>
    <w:p w14:paraId="63F8FBF0">
      <w:pPr>
        <w:spacing w:line="560" w:lineRule="exact"/>
        <w:ind w:firstLine="643" w:firstLineChars="200"/>
        <w:rPr>
          <w:rFonts w:hint="eastAsia" w:ascii="仿宋_GB2312" w:hAnsi="仿宋_GB2312" w:eastAsia="仿宋_GB2312" w:cs="仿宋_GB2312"/>
          <w:b/>
          <w:sz w:val="32"/>
          <w:szCs w:val="32"/>
          <w:lang w:eastAsia="zh"/>
        </w:rPr>
      </w:pPr>
      <w:r>
        <w:rPr>
          <w:rFonts w:hint="eastAsia" w:ascii="仿宋_GB2312" w:hAnsi="仿宋_GB2312" w:eastAsia="仿宋_GB2312" w:cs="仿宋_GB2312"/>
          <w:b/>
          <w:sz w:val="32"/>
          <w:szCs w:val="32"/>
          <w:lang w:eastAsia="zh"/>
        </w:rPr>
        <w:t>二、管控重点</w:t>
      </w:r>
    </w:p>
    <w:p w14:paraId="61E60DA9">
      <w:pPr>
        <w:spacing w:line="560" w:lineRule="exact"/>
        <w:ind w:firstLine="640" w:firstLineChars="200"/>
        <w:rPr>
          <w:rFonts w:hint="eastAsia" w:ascii="仿宋_GB2312" w:hAnsi="仿宋_GB2312" w:eastAsia="仿宋_GB2312" w:cs="仿宋_GB2312"/>
          <w:bCs/>
          <w:sz w:val="32"/>
          <w:szCs w:val="32"/>
          <w:lang w:eastAsia="zh"/>
        </w:rPr>
      </w:pPr>
      <w:r>
        <w:rPr>
          <w:rFonts w:hint="eastAsia" w:ascii="仿宋_GB2312" w:hAnsi="仿宋_GB2312" w:eastAsia="仿宋_GB2312" w:cs="仿宋_GB2312"/>
          <w:bCs/>
          <w:sz w:val="32"/>
          <w:szCs w:val="32"/>
          <w:lang w:eastAsia="zh"/>
        </w:rPr>
        <w:t>1.建设单位应提供有限空间作业周边环境调查及水文地质相关资料，并加强有限空间作业安全管理，每周至少组织1次安全生产检查。</w:t>
      </w:r>
    </w:p>
    <w:p w14:paraId="51A706AD">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2.勘察单位应在工程地质勘察报告中，对地质中存在或可能存在的有毒有害、易燃易爆气体或液体及相关管道等情况予以说明和提示，建设单位及时委托专项检测。</w:t>
      </w:r>
    </w:p>
    <w:p w14:paraId="0FB80579">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3.设计单位应系统辨识工程中可能形成有限空间的区域，优化设计方案，消除或减少人员进入有限空间作业。应在设计交底中明确有限空间结构的用途和施工安全措施。</w:t>
      </w:r>
    </w:p>
    <w:p w14:paraId="21B6B8A4">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4.施工单位应对有限空间作业场景进行辨识和标识，在开工前辨识有限空间作业危险有害因素，编制施工方案，配置安全装备，开展教育培训，履行作业审批，落实“先通风、再检测、后作业、有监护”原则，组织监督检查与应急救援演练。常见有限空间作业场景包括但不限于：地基与基础工程的桩孔内；地下室外墙与基坑边坡形成的狭小空间（肥槽）；主体结构工程的封闭型钢结构内；消防水池、汽车坡道下部三角区域、人防工程等通风不良的封闭半封闭空间；采用盖挖逆作法施工的地下室、地下车站等。根据辨识情况，施工单位应建立有限空间作业管理台账。台账应包含作业部位、作业内容、主要危险有害因素、施工计划和作业班组等基本情况，并根据施工情况及时更新。</w:t>
      </w:r>
    </w:p>
    <w:p w14:paraId="79D64291">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5.监理单位应对有限空间作业开展巡视，及时制止违章行为，发现隐患应当要求立即整改；情节严重的，应当要求施工单位暂停施工，并及时报告建设单位。施工单位拒不整改或者不停止施工的，监理单位应当及时报告建设单位和工程所在地住房城乡建设主管部门。</w:t>
      </w:r>
    </w:p>
    <w:p w14:paraId="2BC4B075">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6.作业前必须采取通风措施，且保持空气流通30min以上。通风应采用强制通风方式，通风设备应符合相关标准要求，确保有限空间内空气充分交换。</w:t>
      </w:r>
    </w:p>
    <w:p w14:paraId="33B2550B">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7.作业前需对有限空间内的气体浓度进行检测，应按照氧气、可燃气体及有毒有害气体的顺序进行气体检测。当气体浓度超过安全允许值时，严禁作业。</w:t>
      </w:r>
    </w:p>
    <w:p w14:paraId="5B7546FC">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8.有限空间内作业人员不宜超过 </w:t>
      </w:r>
      <w:r>
        <w:rPr>
          <w:rFonts w:ascii="仿宋_GB2312" w:hAnsi="仿宋_GB2312" w:eastAsia="仿宋_GB2312" w:cs="仿宋_GB2312"/>
          <w:bCs/>
          <w:sz w:val="32"/>
          <w:szCs w:val="32"/>
        </w:rPr>
        <w:t xml:space="preserve">2 </w:t>
      </w:r>
      <w:r>
        <w:rPr>
          <w:rFonts w:hint="eastAsia" w:ascii="仿宋_GB2312" w:hAnsi="仿宋_GB2312" w:eastAsia="仿宋_GB2312" w:cs="仿宋_GB2312"/>
          <w:bCs/>
          <w:sz w:val="32"/>
          <w:szCs w:val="32"/>
        </w:rPr>
        <w:t xml:space="preserve">人。如有超过 </w:t>
      </w:r>
      <w:r>
        <w:rPr>
          <w:rFonts w:ascii="仿宋_GB2312" w:hAnsi="仿宋_GB2312" w:eastAsia="仿宋_GB2312" w:cs="仿宋_GB2312"/>
          <w:bCs/>
          <w:sz w:val="32"/>
          <w:szCs w:val="32"/>
        </w:rPr>
        <w:t xml:space="preserve">2 </w:t>
      </w:r>
      <w:r>
        <w:rPr>
          <w:rFonts w:hint="eastAsia" w:ascii="仿宋_GB2312" w:hAnsi="仿宋_GB2312" w:eastAsia="仿宋_GB2312" w:cs="仿宋_GB2312"/>
          <w:bCs/>
          <w:sz w:val="32"/>
          <w:szCs w:val="32"/>
        </w:rPr>
        <w:t>人的作业需求，应在施工方案中明确，同时加强通风、照明、防护等安全技术措施。作业人员应佩戴安全帽、安全带等个人防护装备，安全带挂钩应挂设至可靠的安全设施上。</w:t>
      </w:r>
    </w:p>
    <w:p w14:paraId="3D311008">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9.有限空间作业场所进行有效防护，在醒目处设置有限空间警示标识，在有限空间作业出入口设置危险有害因素告知牌。</w:t>
      </w:r>
    </w:p>
    <w:p w14:paraId="1E40DE9F">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10.作业班组应在有限空间外，配备专职监护人员，不得擅离职守。</w:t>
      </w:r>
    </w:p>
    <w:p w14:paraId="39A939D3">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11.施工单位应指定监督人员，对有限空间作业和监护的规范性进行监督管理。</w:t>
      </w:r>
    </w:p>
    <w:p w14:paraId="2C1C391B">
      <w:pPr>
        <w:spacing w:line="560" w:lineRule="exact"/>
        <w:ind w:firstLine="643"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三、常见问题</w:t>
      </w:r>
    </w:p>
    <w:p w14:paraId="51C79866">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1.风险辨识与管理制度问题：如未全面识别施工现场的有限空间，导致未纳入安全管理范围；制度不健全或执行不到位，作业审批流于形式，未落实“先通风、再检测、后作业”原则等。</w:t>
      </w:r>
    </w:p>
    <w:p w14:paraId="712E67DB">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安全防护与设施问题：如有限空间出入口未设置明显的安全警示标志或风险告知牌；未对有限空间采取上锁、隔离栏、防护网等物理隔离措施，或隔离防护措施不牢固；未配备足够的机械通风设备，或气体检测仪器未定期校验，报警值设置错误，无法准确监测有限空间内的气体成分等。</w:t>
      </w:r>
    </w:p>
    <w:p w14:paraId="1C531E7E">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作业人员管理问题：如作业人员、监护人员对有限空间的风险、操作规程、应急措施不熟悉；作业时未安排专人全程监护，或监护人员擅离职守，无法及时应对突发情况；有限空间内违规动火、用电不规范；作业人员未正确佩戴安全帽、安全带、呼吸防护用品等。</w:t>
      </w:r>
    </w:p>
    <w:p w14:paraId="3BC58AD6">
      <w:pPr>
        <w:spacing w:line="560" w:lineRule="exact"/>
        <w:ind w:firstLine="640" w:firstLineChars="200"/>
        <w:rPr>
          <w:rFonts w:hint="eastAsia" w:ascii="仿宋_GB2312" w:hAnsi="仿宋_GB2312" w:eastAsia="仿宋_GB2312" w:cs="仿宋_GB2312"/>
          <w:bCs/>
          <w:sz w:val="32"/>
          <w:szCs w:val="32"/>
          <w:lang w:eastAsia="zh"/>
        </w:rPr>
      </w:pPr>
      <w:r>
        <w:rPr>
          <w:rFonts w:hint="eastAsia" w:ascii="仿宋_GB2312" w:hAnsi="仿宋_GB2312" w:eastAsia="仿宋_GB2312" w:cs="仿宋_GB2312"/>
          <w:bCs/>
          <w:sz w:val="32"/>
          <w:szCs w:val="32"/>
        </w:rPr>
        <w:t>4.应急管理与救援问题：如未制定针对性的有限空间作业应急预案，或预案内容缺乏可操作性；未配备必要的应急救援装备，或装备未定期维护，无法正常使用；事故发生后，未采取科学合理的救援措施，存在盲目进入有限空间施救的情况，导致事故扩大。</w:t>
      </w:r>
    </w:p>
    <w:p w14:paraId="246BFD06">
      <w:pPr>
        <w:rPr>
          <w:rFonts w:hint="eastAsia" w:ascii="仿宋_GB2312" w:hAnsi="仿宋_GB2312" w:eastAsia="仿宋_GB2312" w:cs="仿宋_GB2312"/>
          <w:bCs/>
          <w:sz w:val="32"/>
          <w:szCs w:val="32"/>
          <w:lang w:eastAsia="zh"/>
        </w:rPr>
      </w:pPr>
      <w:r>
        <w:rPr>
          <w:rFonts w:hint="eastAsia" w:ascii="仿宋_GB2312" w:hAnsi="仿宋_GB2312" w:eastAsia="仿宋_GB2312" w:cs="仿宋_GB2312"/>
          <w:bCs/>
          <w:sz w:val="32"/>
          <w:szCs w:val="32"/>
          <w:lang w:eastAsia="zh"/>
        </w:rPr>
        <w:br w:type="page"/>
      </w:r>
    </w:p>
    <w:p w14:paraId="5DD69B61">
      <w:pPr>
        <w:pStyle w:val="2"/>
        <w:rPr>
          <w:rFonts w:hint="eastAsia"/>
          <w:color w:val="EE0000"/>
        </w:rPr>
      </w:pPr>
      <w:r>
        <w:rPr>
          <w:rFonts w:hint="eastAsia"/>
          <w:color w:val="EE0000"/>
        </w:rPr>
        <w:t>装配式吊装安全监督交底（刘永胜）</w:t>
      </w:r>
    </w:p>
    <w:p w14:paraId="0D13CE07">
      <w:pPr>
        <w:rPr>
          <w:lang w:eastAsia="zh"/>
        </w:rPr>
      </w:pPr>
    </w:p>
    <w:p w14:paraId="4BD3AAB3">
      <w:pPr>
        <w:spacing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一、主要依据</w:t>
      </w:r>
    </w:p>
    <w:p w14:paraId="12486BCC">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《中华人民共和国安全生产法》《建设工程安全生产管理条例》（国务院令第393号）《湖南省建设工程质量和安全生产管理条例》</w:t>
      </w:r>
      <w:r>
        <w:rPr>
          <w:rFonts w:hint="eastAsia" w:ascii="仿宋" w:hAnsi="仿宋" w:eastAsia="仿宋" w:cs="仿宋"/>
          <w:sz w:val="32"/>
          <w:szCs w:val="32"/>
        </w:rPr>
        <w:t>《危险性较大的分部分项工程安全管理规定》（住建部令第37号）</w:t>
      </w:r>
      <w:r>
        <w:rPr>
          <w:rFonts w:hint="eastAsia" w:ascii="仿宋" w:hAnsi="仿宋" w:eastAsia="仿宋" w:cs="仿宋"/>
          <w:sz w:val="32"/>
          <w:szCs w:val="32"/>
          <w:lang w:eastAsia="zh"/>
        </w:rPr>
        <w:t>《建筑施工安全检查标准》（JGJ59-2011）《建筑与市政施工现场安全卫生与职业健康通用规范》(GB55034-2022)《装配式混凝土建筑技术标准》</w:t>
      </w:r>
      <w:r>
        <w:rPr>
          <w:rFonts w:hint="eastAsia" w:ascii="仿宋" w:hAnsi="仿宋" w:eastAsia="仿宋" w:cs="仿宋"/>
          <w:sz w:val="32"/>
          <w:szCs w:val="32"/>
        </w:rPr>
        <w:t>（GB/T51231-2016）</w:t>
      </w:r>
      <w:r>
        <w:rPr>
          <w:rFonts w:hint="eastAsia" w:ascii="仿宋" w:hAnsi="仿宋" w:eastAsia="仿宋" w:cs="仿宋"/>
          <w:sz w:val="32"/>
          <w:szCs w:val="32"/>
          <w:lang w:eastAsia="zh"/>
        </w:rPr>
        <w:t>《建筑施工起重吊装工程安全技术规范》（JGJ276-2012）《起重</w:t>
      </w:r>
      <w:r>
        <w:rPr>
          <w:rFonts w:hint="eastAsia" w:ascii="仿宋" w:hAnsi="仿宋" w:eastAsia="仿宋" w:cs="仿宋"/>
          <w:sz w:val="32"/>
          <w:szCs w:val="32"/>
        </w:rPr>
        <w:t>机手势</w:t>
      </w:r>
      <w:r>
        <w:rPr>
          <w:rFonts w:hint="eastAsia" w:ascii="仿宋" w:hAnsi="仿宋" w:eastAsia="仿宋" w:cs="仿宋"/>
          <w:sz w:val="32"/>
          <w:szCs w:val="32"/>
          <w:lang w:eastAsia="zh"/>
        </w:rPr>
        <w:t>信号》（GB/T5082-2019）《混凝土结构工程施工规范》（GB50666-2</w:t>
      </w:r>
      <w:r>
        <w:rPr>
          <w:rFonts w:hint="eastAsia" w:ascii="仿宋" w:hAnsi="仿宋" w:eastAsia="仿宋" w:cs="仿宋"/>
          <w:sz w:val="32"/>
          <w:szCs w:val="32"/>
        </w:rPr>
        <w:t>011</w:t>
      </w:r>
      <w:r>
        <w:rPr>
          <w:rFonts w:hint="eastAsia" w:ascii="仿宋" w:hAnsi="仿宋" w:eastAsia="仿宋" w:cs="仿宋"/>
          <w:sz w:val="32"/>
          <w:szCs w:val="32"/>
          <w:lang w:eastAsia="zh"/>
        </w:rPr>
        <w:t>）</w:t>
      </w:r>
      <w:r>
        <w:rPr>
          <w:rFonts w:hint="eastAsia" w:ascii="仿宋" w:hAnsi="仿宋" w:eastAsia="仿宋" w:cs="仿宋"/>
          <w:sz w:val="32"/>
          <w:szCs w:val="32"/>
        </w:rPr>
        <w:t>《房屋市政工程生产安全重大事故隐患判定标准（2024版）》、《湖南省装配式混凝土建筑施工质量安全监督要点》《湖南省建筑起重机械安全生产管理办法》（湘建建〔2021〕208号）《关于超规模危险性较大的分部分项工程及高边坡工程推行“一录入”“六到场”安全监督模式的通知》（湘质安监字〔2026〕7号）等相关规定。</w:t>
      </w:r>
    </w:p>
    <w:p w14:paraId="7F5C319E">
      <w:pPr>
        <w:spacing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二、</w:t>
      </w:r>
      <w:r>
        <w:rPr>
          <w:rFonts w:ascii="黑体" w:hAnsi="黑体" w:eastAsia="黑体" w:cs="黑体"/>
          <w:sz w:val="32"/>
          <w:szCs w:val="32"/>
        </w:rPr>
        <w:t>管控重点</w:t>
      </w:r>
    </w:p>
    <w:p w14:paraId="0EE889AA">
      <w:pPr>
        <w:numPr>
          <w:ilvl w:val="0"/>
          <w:numId w:val="13"/>
        </w:numPr>
        <w:spacing w:line="560" w:lineRule="exact"/>
        <w:ind w:firstLine="640" w:firstLineChars="200"/>
        <w:rPr>
          <w:rFonts w:hint="eastAsia" w:ascii="楷体" w:hAnsi="楷体" w:eastAsia="楷体" w:cs="楷体"/>
          <w:sz w:val="32"/>
          <w:szCs w:val="32"/>
        </w:rPr>
      </w:pPr>
      <w:r>
        <w:rPr>
          <w:rFonts w:hint="eastAsia" w:ascii="楷体" w:hAnsi="楷体" w:eastAsia="楷体" w:cs="楷体"/>
          <w:sz w:val="32"/>
          <w:szCs w:val="32"/>
        </w:rPr>
        <w:t>方案与资质</w:t>
      </w:r>
    </w:p>
    <w:p w14:paraId="09F5FDA0">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1.施工单位</w:t>
      </w:r>
      <w:r>
        <w:rPr>
          <w:rFonts w:hint="eastAsia" w:ascii="仿宋" w:hAnsi="仿宋" w:eastAsia="仿宋" w:cs="仿宋"/>
          <w:sz w:val="32"/>
          <w:szCs w:val="32"/>
          <w:lang w:eastAsia="zh"/>
        </w:rPr>
        <w:t>对装配式吊装工程负总责，</w:t>
      </w:r>
      <w:r>
        <w:rPr>
          <w:rFonts w:hint="eastAsia" w:ascii="仿宋" w:hAnsi="仿宋" w:eastAsia="仿宋" w:cs="仿宋"/>
          <w:sz w:val="32"/>
          <w:szCs w:val="32"/>
        </w:rPr>
        <w:t>应</w:t>
      </w:r>
      <w:r>
        <w:rPr>
          <w:rFonts w:hint="eastAsia" w:ascii="仿宋" w:hAnsi="仿宋" w:eastAsia="仿宋" w:cs="仿宋"/>
          <w:sz w:val="32"/>
          <w:szCs w:val="32"/>
          <w:lang w:eastAsia="zh"/>
        </w:rPr>
        <w:t>编制专项施工方案，方案应包含工程概况、吊装设备选型、吊装流程、构件堆放与运输、安全防护措施、应急处置预案等内容，超过一定规模的危险性较大的分部分项工程专项方案需组织专家论证</w:t>
      </w:r>
      <w:r>
        <w:rPr>
          <w:rFonts w:hint="eastAsia" w:ascii="仿宋" w:hAnsi="仿宋" w:eastAsia="仿宋" w:cs="仿宋"/>
          <w:sz w:val="32"/>
          <w:szCs w:val="32"/>
        </w:rPr>
        <w:t>。</w:t>
      </w:r>
    </w:p>
    <w:p w14:paraId="3D0FA5D0">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hint="eastAsia" w:ascii="仿宋" w:hAnsi="仿宋" w:eastAsia="仿宋" w:cs="仿宋"/>
          <w:sz w:val="32"/>
          <w:szCs w:val="32"/>
          <w:lang w:eastAsia="zh"/>
        </w:rPr>
        <w:t>核查吊装单位资质、安全生产许可证及起重机械安装拆卸工、起重司机、信号司索工等特种作业人员的特种作业操作证，确保其符合要求。</w:t>
      </w:r>
    </w:p>
    <w:p w14:paraId="1C58E95E">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w:t>
      </w:r>
      <w:r>
        <w:rPr>
          <w:rFonts w:hint="eastAsia" w:ascii="仿宋" w:hAnsi="仿宋" w:eastAsia="仿宋" w:cs="仿宋"/>
          <w:sz w:val="32"/>
          <w:szCs w:val="32"/>
          <w:lang w:eastAsia="zh"/>
        </w:rPr>
        <w:t>组织开展装配式吊装专项安全培训，涵盖吊装作业流程、安全技术要求、应急处置方法等内容，培训考核合格后方可上岗作业。</w:t>
      </w:r>
    </w:p>
    <w:p w14:paraId="19FD7598">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4.监理单位</w:t>
      </w:r>
      <w:r>
        <w:rPr>
          <w:rFonts w:hint="eastAsia" w:ascii="仿宋" w:hAnsi="仿宋" w:eastAsia="仿宋" w:cs="仿宋"/>
          <w:sz w:val="32"/>
          <w:szCs w:val="32"/>
          <w:lang w:eastAsia="zh"/>
        </w:rPr>
        <w:t>审查施工单位提交的装配式吊装专项施工方案，重点核查方案的可行性、安全性及专家论证情况，对不符合要求的方案提出整改意见，督促施工单位修改完善后重新报审。</w:t>
      </w:r>
    </w:p>
    <w:p w14:paraId="2B9515C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5.监理单位</w:t>
      </w:r>
      <w:r>
        <w:rPr>
          <w:rFonts w:hint="eastAsia" w:ascii="仿宋" w:hAnsi="仿宋" w:eastAsia="仿宋" w:cs="仿宋"/>
          <w:sz w:val="32"/>
          <w:szCs w:val="32"/>
          <w:lang w:eastAsia="zh"/>
        </w:rPr>
        <w:t>核查吊装单位资质、特种作业人员资格证书及吊装设备的进场检验资料，对不符合要求的，责令施工单位整改，未整改合格的不得允许开展吊装作业。</w:t>
      </w:r>
    </w:p>
    <w:p w14:paraId="11710055">
      <w:pPr>
        <w:numPr>
          <w:ilvl w:val="0"/>
          <w:numId w:val="13"/>
        </w:numPr>
        <w:spacing w:line="560" w:lineRule="exact"/>
        <w:ind w:firstLine="640" w:firstLineChars="200"/>
        <w:rPr>
          <w:rFonts w:hint="eastAsia" w:ascii="楷体" w:hAnsi="楷体" w:eastAsia="楷体" w:cs="楷体"/>
          <w:sz w:val="32"/>
          <w:szCs w:val="32"/>
        </w:rPr>
      </w:pPr>
      <w:r>
        <w:rPr>
          <w:rFonts w:ascii="楷体" w:hAnsi="楷体" w:eastAsia="楷体" w:cs="楷体"/>
          <w:sz w:val="32"/>
          <w:szCs w:val="32"/>
        </w:rPr>
        <w:t>构件进场与堆放</w:t>
      </w:r>
    </w:p>
    <w:p w14:paraId="3726879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eastAsia="仿宋" w:cs="仿宋"/>
          <w:sz w:val="32"/>
          <w:szCs w:val="32"/>
          <w:lang w:eastAsia="zh"/>
        </w:rPr>
        <w:t>构件进场时，施工单位应会同监理单位对构件的外观质量、尺寸偏差、混凝土强度、预埋件及预留孔洞位置等进行检验，核对构件出厂合格证等资料，不合格构件不得进场使用。</w:t>
      </w:r>
    </w:p>
    <w:p w14:paraId="5C2C3CA3">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hint="eastAsia" w:ascii="仿宋" w:hAnsi="仿宋" w:eastAsia="仿宋" w:cs="仿宋"/>
          <w:sz w:val="32"/>
          <w:szCs w:val="32"/>
          <w:lang w:eastAsia="zh"/>
        </w:rPr>
        <w:t>构件堆放场地应平整、坚实，设置排水设施，堆放架应具有足够的承载力和稳定性。构件应按型号、吊装顺序分类堆放，堆放高度应符合规范要求，避免超载堆放。</w:t>
      </w:r>
    </w:p>
    <w:p w14:paraId="281F2D6E">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3.吊装单位或使用单位应</w:t>
      </w:r>
      <w:r>
        <w:rPr>
          <w:rFonts w:hint="eastAsia" w:ascii="仿宋" w:hAnsi="仿宋" w:eastAsia="仿宋" w:cs="仿宋"/>
          <w:sz w:val="32"/>
          <w:szCs w:val="32"/>
          <w:lang w:eastAsia="zh"/>
        </w:rPr>
        <w:t>对吊装设备、吊具、索具等进行进场检验，核查产品合格证、检验报告等资料，建立设备台账，定期进行维护保养和检查。</w:t>
      </w:r>
    </w:p>
    <w:p w14:paraId="4F1EA43C">
      <w:pPr>
        <w:numPr>
          <w:ilvl w:val="0"/>
          <w:numId w:val="13"/>
        </w:numPr>
        <w:spacing w:line="560" w:lineRule="exact"/>
        <w:ind w:firstLine="640" w:firstLineChars="200"/>
        <w:rPr>
          <w:rFonts w:hint="eastAsia" w:ascii="楷体" w:hAnsi="楷体" w:eastAsia="楷体" w:cs="楷体"/>
          <w:sz w:val="32"/>
          <w:szCs w:val="32"/>
        </w:rPr>
      </w:pPr>
      <w:r>
        <w:rPr>
          <w:rFonts w:ascii="楷体" w:hAnsi="楷体" w:eastAsia="楷体" w:cs="楷体"/>
          <w:sz w:val="32"/>
          <w:szCs w:val="32"/>
        </w:rPr>
        <w:t>吊装前准备</w:t>
      </w:r>
    </w:p>
    <w:p w14:paraId="658F7261">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1.施工单位（吊装单位）应</w:t>
      </w:r>
      <w:r>
        <w:rPr>
          <w:rFonts w:hint="eastAsia" w:ascii="仿宋" w:hAnsi="仿宋" w:eastAsia="仿宋" w:cs="仿宋"/>
          <w:sz w:val="32"/>
          <w:szCs w:val="32"/>
          <w:lang w:eastAsia="zh"/>
        </w:rPr>
        <w:t>配备合格的起重机械安装拆卸工、起重司机、信号司索工等特种作业人员，作业前对</w:t>
      </w:r>
      <w:r>
        <w:rPr>
          <w:rFonts w:hint="eastAsia" w:ascii="仿宋" w:hAnsi="仿宋" w:eastAsia="仿宋" w:cs="仿宋"/>
          <w:sz w:val="32"/>
          <w:szCs w:val="32"/>
        </w:rPr>
        <w:t>管理、</w:t>
      </w:r>
      <w:r>
        <w:rPr>
          <w:rFonts w:hint="eastAsia" w:ascii="仿宋" w:hAnsi="仿宋" w:eastAsia="仿宋" w:cs="仿宋"/>
          <w:sz w:val="32"/>
          <w:szCs w:val="32"/>
          <w:lang w:eastAsia="zh"/>
        </w:rPr>
        <w:t>作业人员</w:t>
      </w:r>
      <w:r>
        <w:rPr>
          <w:rFonts w:hint="eastAsia" w:ascii="仿宋" w:hAnsi="仿宋" w:eastAsia="仿宋" w:cs="仿宋"/>
          <w:sz w:val="32"/>
          <w:szCs w:val="32"/>
        </w:rPr>
        <w:t>分别</w:t>
      </w:r>
      <w:r>
        <w:rPr>
          <w:rFonts w:hint="eastAsia" w:ascii="仿宋" w:hAnsi="仿宋" w:eastAsia="仿宋" w:cs="仿宋"/>
          <w:sz w:val="32"/>
          <w:szCs w:val="32"/>
          <w:lang w:eastAsia="zh"/>
        </w:rPr>
        <w:t>进行</w:t>
      </w:r>
      <w:r>
        <w:rPr>
          <w:rFonts w:hint="eastAsia" w:ascii="仿宋" w:hAnsi="仿宋" w:eastAsia="仿宋" w:cs="仿宋"/>
          <w:sz w:val="32"/>
          <w:szCs w:val="32"/>
        </w:rPr>
        <w:t>方案交底和</w:t>
      </w:r>
      <w:r>
        <w:rPr>
          <w:rFonts w:hint="eastAsia" w:ascii="仿宋" w:hAnsi="仿宋" w:eastAsia="仿宋" w:cs="仿宋"/>
          <w:sz w:val="32"/>
          <w:szCs w:val="32"/>
          <w:lang w:eastAsia="zh"/>
        </w:rPr>
        <w:t>安全技术交底，明确作业任务和安全注意事项。</w:t>
      </w:r>
    </w:p>
    <w:p w14:paraId="4B23D23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hint="eastAsia" w:ascii="仿宋" w:hAnsi="仿宋" w:eastAsia="仿宋" w:cs="仿宋"/>
          <w:sz w:val="32"/>
          <w:szCs w:val="32"/>
          <w:lang w:eastAsia="zh"/>
        </w:rPr>
        <w:t>起重机械必须具备合格的检验检测报告、验收记录、备案证明，限位、保险装置齐全有效</w:t>
      </w:r>
      <w:r>
        <w:rPr>
          <w:rFonts w:hint="eastAsia" w:ascii="仿宋" w:hAnsi="仿宋" w:eastAsia="仿宋" w:cs="仿宋"/>
          <w:sz w:val="32"/>
          <w:szCs w:val="32"/>
        </w:rPr>
        <w:t>。</w:t>
      </w:r>
    </w:p>
    <w:p w14:paraId="3845A104">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3.</w:t>
      </w:r>
      <w:r>
        <w:rPr>
          <w:rFonts w:hint="eastAsia" w:ascii="仿宋" w:hAnsi="仿宋" w:eastAsia="仿宋" w:cs="仿宋"/>
          <w:sz w:val="32"/>
          <w:szCs w:val="32"/>
          <w:lang w:eastAsia="zh"/>
        </w:rPr>
        <w:t>吊具</w:t>
      </w:r>
      <w:r>
        <w:rPr>
          <w:rFonts w:hint="eastAsia" w:ascii="仿宋" w:hAnsi="仿宋" w:eastAsia="仿宋" w:cs="仿宋"/>
          <w:sz w:val="32"/>
          <w:szCs w:val="32"/>
        </w:rPr>
        <w:t>和索具的性能、规格应满足吊运要求，作业前应对吊具和索具进行检查，确认完好后方可投入使用，承载时不得超过额定荷载。</w:t>
      </w:r>
    </w:p>
    <w:p w14:paraId="623EE008">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4.</w:t>
      </w:r>
      <w:r>
        <w:rPr>
          <w:rFonts w:hint="eastAsia" w:ascii="仿宋" w:hAnsi="仿宋" w:eastAsia="仿宋" w:cs="仿宋"/>
          <w:sz w:val="32"/>
          <w:szCs w:val="32"/>
          <w:lang w:eastAsia="zh"/>
        </w:rPr>
        <w:t>检查构件的吊点设置是否符合设计要求，吊点处的混凝土强度是否达到吊装要求，必要时进行加固处理。</w:t>
      </w:r>
    </w:p>
    <w:p w14:paraId="21257AFC">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5.吊装作业前应设置安全保护区域及警示标识，吊装作业时应安排专人监护，防止无关人员进入，严禁任何人在吊物或起重臂下停留或通过。</w:t>
      </w:r>
    </w:p>
    <w:p w14:paraId="35EBD47D">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6.</w:t>
      </w:r>
      <w:r>
        <w:rPr>
          <w:rFonts w:hint="eastAsia" w:ascii="仿宋" w:hAnsi="仿宋" w:eastAsia="仿宋" w:cs="仿宋"/>
          <w:sz w:val="32"/>
          <w:szCs w:val="32"/>
          <w:lang w:eastAsia="zh"/>
        </w:rPr>
        <w:t>应在施工现场显著位置公告装配式吊装危大工程名称、施工时间和具体责任人员，并设置安全警示标志。</w:t>
      </w:r>
    </w:p>
    <w:p w14:paraId="33438911">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7.</w:t>
      </w:r>
      <w:r>
        <w:rPr>
          <w:rFonts w:hint="eastAsia" w:ascii="仿宋" w:hAnsi="仿宋" w:eastAsia="仿宋" w:cs="仿宋"/>
          <w:sz w:val="32"/>
          <w:szCs w:val="32"/>
          <w:lang w:eastAsia="zh"/>
        </w:rPr>
        <w:t>应落实班前会制度，进行安全风险提示和安全技术交底，落实"一会三卡"制度。</w:t>
      </w:r>
    </w:p>
    <w:p w14:paraId="40EE19DB">
      <w:pPr>
        <w:numPr>
          <w:ilvl w:val="0"/>
          <w:numId w:val="13"/>
        </w:numPr>
        <w:spacing w:line="560" w:lineRule="exact"/>
        <w:ind w:firstLine="640" w:firstLineChars="200"/>
        <w:rPr>
          <w:rFonts w:hint="eastAsia" w:ascii="楷体" w:hAnsi="楷体" w:eastAsia="楷体" w:cs="楷体"/>
          <w:sz w:val="32"/>
          <w:szCs w:val="32"/>
        </w:rPr>
      </w:pPr>
      <w:r>
        <w:rPr>
          <w:rFonts w:ascii="楷体" w:hAnsi="楷体" w:eastAsia="楷体" w:cs="楷体"/>
          <w:sz w:val="32"/>
          <w:szCs w:val="32"/>
        </w:rPr>
        <w:t>吊装作业过程</w:t>
      </w:r>
    </w:p>
    <w:p w14:paraId="0962C7BF">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1.施工单位</w:t>
      </w:r>
      <w:r>
        <w:rPr>
          <w:rFonts w:hint="eastAsia" w:ascii="仿宋" w:hAnsi="仿宋" w:eastAsia="仿宋" w:cs="仿宋"/>
          <w:sz w:val="32"/>
          <w:szCs w:val="32"/>
          <w:lang w:eastAsia="zh"/>
        </w:rPr>
        <w:t>负责施工现场吊装作业的统筹协调，划分吊装警戒区域，设置明显警示标志，安排专人进行现场安全管理和协调。</w:t>
      </w:r>
    </w:p>
    <w:p w14:paraId="2D958E0E">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2.监理单位要</w:t>
      </w:r>
      <w:r>
        <w:rPr>
          <w:rFonts w:hint="eastAsia" w:ascii="仿宋" w:hAnsi="仿宋" w:eastAsia="仿宋" w:cs="仿宋"/>
          <w:sz w:val="32"/>
          <w:szCs w:val="32"/>
          <w:lang w:eastAsia="zh"/>
        </w:rPr>
        <w:t>对装配式吊装作业实施全过程监督，检查吊装设备运行状况、构件吊装流程、安全防护措施落实等情况。发现违规作业或安全隐患时，立即签发《监理工程师通知单》，责令停止作业并整改；对拒不整改的，及时向建设单位和监督机构报告。</w:t>
      </w:r>
    </w:p>
    <w:p w14:paraId="5D77743E">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3.</w:t>
      </w:r>
      <w:r>
        <w:rPr>
          <w:rFonts w:hint="eastAsia" w:ascii="仿宋" w:hAnsi="仿宋" w:eastAsia="仿宋" w:cs="仿宋"/>
          <w:sz w:val="32"/>
          <w:szCs w:val="32"/>
          <w:lang w:eastAsia="zh"/>
        </w:rPr>
        <w:t>吊装作业应由专人指挥，指挥信号应符合《起重吊运指挥信号》（GB/T5082-2019）的规定，指挥人员应站在视线良好的位置，确保与起重司机、信号司索工之间的通讯畅通。</w:t>
      </w:r>
    </w:p>
    <w:p w14:paraId="4AB36177">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4.</w:t>
      </w:r>
      <w:r>
        <w:rPr>
          <w:rFonts w:hint="eastAsia" w:ascii="仿宋" w:hAnsi="仿宋" w:eastAsia="仿宋" w:cs="仿宋"/>
          <w:sz w:val="32"/>
          <w:szCs w:val="32"/>
          <w:lang w:eastAsia="zh"/>
        </w:rPr>
        <w:t>起重司机应严格按照指挥信号操作，严禁酒后作业、疲劳作业，在吊装过程中不得擅自离开工作岗位。</w:t>
      </w:r>
    </w:p>
    <w:p w14:paraId="5EAEDE22">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5.</w:t>
      </w:r>
      <w:r>
        <w:rPr>
          <w:rFonts w:hint="eastAsia" w:ascii="仿宋" w:hAnsi="仿宋" w:eastAsia="仿宋" w:cs="仿宋"/>
          <w:sz w:val="32"/>
          <w:szCs w:val="32"/>
          <w:lang w:eastAsia="zh"/>
        </w:rPr>
        <w:t>构件起吊前应进行试吊，将构件吊离地面200-300mm后，检查起重机械的稳定性、制动性能、吊具索具的受力情况等，确认无误后方可继续起吊。</w:t>
      </w:r>
    </w:p>
    <w:p w14:paraId="758C9843">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6.</w:t>
      </w:r>
      <w:r>
        <w:rPr>
          <w:rFonts w:hint="eastAsia" w:ascii="仿宋" w:hAnsi="仿宋" w:eastAsia="仿宋" w:cs="仿宋"/>
          <w:sz w:val="32"/>
          <w:szCs w:val="32"/>
          <w:lang w:eastAsia="zh"/>
        </w:rPr>
        <w:t>吊装作业时严格遵守操作规程，确保吊装信号统一、准确，严禁违章指挥、违章作业</w:t>
      </w:r>
      <w:r>
        <w:rPr>
          <w:rFonts w:hint="eastAsia" w:ascii="仿宋" w:hAnsi="仿宋" w:eastAsia="仿宋" w:cs="仿宋"/>
          <w:sz w:val="32"/>
          <w:szCs w:val="32"/>
        </w:rPr>
        <w:t>。</w:t>
      </w:r>
      <w:r>
        <w:rPr>
          <w:rFonts w:hint="eastAsia" w:ascii="仿宋" w:hAnsi="仿宋" w:eastAsia="仿宋" w:cs="仿宋"/>
          <w:sz w:val="32"/>
          <w:szCs w:val="32"/>
          <w:lang w:eastAsia="zh"/>
        </w:rPr>
        <w:t>吊装构件时，构件下方严禁站人，严禁在构件上放置无关物品。</w:t>
      </w:r>
    </w:p>
    <w:p w14:paraId="2DBA4158">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7.吊装作业时，对未形成稳定体系的部分，应采取临时固定措施。对临时固定的构件，应在安装固定完成并经检查确认无误后，方可解除临时固定措施。</w:t>
      </w:r>
    </w:p>
    <w:p w14:paraId="5D69A250">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8.</w:t>
      </w:r>
      <w:r>
        <w:rPr>
          <w:rFonts w:hint="eastAsia" w:ascii="仿宋" w:hAnsi="仿宋" w:eastAsia="仿宋" w:cs="仿宋"/>
          <w:sz w:val="32"/>
          <w:szCs w:val="32"/>
          <w:lang w:eastAsia="zh"/>
        </w:rPr>
        <w:t>吊装作业过程中，应随时检查起重机械、吊具、索具的运行状况，发现异常情况立即停止作业，排查故障并整改合格后方可继续作业。</w:t>
      </w:r>
    </w:p>
    <w:p w14:paraId="3884ACA2">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9.</w:t>
      </w:r>
      <w:r>
        <w:rPr>
          <w:rFonts w:hint="eastAsia" w:ascii="仿宋" w:hAnsi="仿宋" w:eastAsia="仿宋" w:cs="仿宋"/>
          <w:sz w:val="32"/>
          <w:szCs w:val="32"/>
          <w:lang w:eastAsia="zh"/>
        </w:rPr>
        <w:t>遇大雨、大雪、大雾、风力≥5 级等恶劣天气，严禁进行露天装配式吊装作业</w:t>
      </w:r>
      <w:r>
        <w:rPr>
          <w:rFonts w:hint="eastAsia" w:ascii="仿宋" w:hAnsi="仿宋" w:eastAsia="仿宋" w:cs="仿宋"/>
          <w:sz w:val="32"/>
          <w:szCs w:val="32"/>
        </w:rPr>
        <w:t>。</w:t>
      </w:r>
    </w:p>
    <w:p w14:paraId="54DF86F6">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10</w:t>
      </w:r>
      <w:r>
        <w:rPr>
          <w:rFonts w:hint="eastAsia" w:ascii="仿宋" w:hAnsi="仿宋" w:eastAsia="仿宋" w:cs="仿宋"/>
          <w:sz w:val="32"/>
          <w:szCs w:val="32"/>
          <w:lang w:eastAsia="zh"/>
        </w:rPr>
        <w:t>夜间吊装作业应具备良好的照明条件。</w:t>
      </w:r>
    </w:p>
    <w:p w14:paraId="1E49697B">
      <w:pPr>
        <w:numPr>
          <w:ilvl w:val="0"/>
          <w:numId w:val="13"/>
        </w:numPr>
        <w:spacing w:line="560" w:lineRule="exact"/>
        <w:ind w:firstLine="640" w:firstLineChars="200"/>
        <w:rPr>
          <w:rFonts w:hint="eastAsia" w:ascii="楷体" w:hAnsi="楷体" w:eastAsia="楷体" w:cs="楷体"/>
          <w:sz w:val="32"/>
          <w:szCs w:val="32"/>
        </w:rPr>
      </w:pPr>
      <w:r>
        <w:rPr>
          <w:rFonts w:ascii="楷体" w:hAnsi="楷体" w:eastAsia="楷体" w:cs="楷体"/>
          <w:sz w:val="32"/>
          <w:szCs w:val="32"/>
        </w:rPr>
        <w:t>吊装后检查</w:t>
      </w:r>
    </w:p>
    <w:p w14:paraId="01604C8F">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1.</w:t>
      </w:r>
      <w:r>
        <w:rPr>
          <w:rFonts w:hint="eastAsia" w:ascii="仿宋" w:hAnsi="仿宋" w:eastAsia="仿宋" w:cs="仿宋"/>
          <w:sz w:val="32"/>
          <w:szCs w:val="32"/>
          <w:lang w:eastAsia="zh"/>
        </w:rPr>
        <w:t>构件安装完成后，施工单位应会同监理单位对构件的安装位置、标高、垂直度、连接质量等进行检查，确保符合设计和规范要求。</w:t>
      </w:r>
    </w:p>
    <w:p w14:paraId="6665B841">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2.</w:t>
      </w:r>
      <w:r>
        <w:rPr>
          <w:rFonts w:hint="eastAsia" w:ascii="仿宋" w:hAnsi="仿宋" w:eastAsia="仿宋" w:cs="仿宋"/>
          <w:sz w:val="32"/>
          <w:szCs w:val="32"/>
          <w:lang w:eastAsia="zh"/>
        </w:rPr>
        <w:t>检查构件连接节点的混凝土或灌浆料强度，待其达到设计强度要求后方可承受全部荷载。</w:t>
      </w:r>
    </w:p>
    <w:p w14:paraId="675A7931">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3.</w:t>
      </w:r>
      <w:r>
        <w:rPr>
          <w:rFonts w:hint="eastAsia" w:ascii="仿宋" w:hAnsi="仿宋" w:eastAsia="仿宋" w:cs="仿宋"/>
          <w:sz w:val="32"/>
          <w:szCs w:val="32"/>
          <w:lang w:eastAsia="zh"/>
        </w:rPr>
        <w:t>及时清理吊装作业现场，整理好吊具、索具等设备，做好吊装作业记录。</w:t>
      </w:r>
    </w:p>
    <w:p w14:paraId="14E84178">
      <w:pPr>
        <w:spacing w:line="560" w:lineRule="exact"/>
        <w:ind w:firstLine="640" w:firstLineChars="200"/>
        <w:rPr>
          <w:rFonts w:hint="eastAsia" w:ascii="黑体" w:hAnsi="黑体" w:eastAsia="黑体" w:cs="黑体"/>
          <w:sz w:val="32"/>
          <w:szCs w:val="32"/>
          <w:lang w:eastAsia="zh"/>
        </w:rPr>
      </w:pPr>
      <w:r>
        <w:rPr>
          <w:rFonts w:ascii="黑体" w:hAnsi="黑体" w:eastAsia="黑体" w:cs="黑体"/>
          <w:sz w:val="32"/>
          <w:szCs w:val="32"/>
        </w:rPr>
        <w:t>三、常见问题</w:t>
      </w:r>
    </w:p>
    <w:p w14:paraId="2D2444F4">
      <w:pPr>
        <w:spacing w:line="560" w:lineRule="exact"/>
        <w:ind w:firstLine="640" w:firstLineChars="200"/>
        <w:rPr>
          <w:rFonts w:hint="eastAsia" w:ascii="楷体" w:hAnsi="楷体" w:eastAsia="楷体" w:cs="楷体"/>
          <w:sz w:val="32"/>
          <w:szCs w:val="32"/>
          <w:lang w:eastAsia="zh"/>
        </w:rPr>
      </w:pPr>
      <w:r>
        <w:rPr>
          <w:rFonts w:ascii="楷体" w:hAnsi="楷体" w:eastAsia="楷体" w:cs="楷体"/>
          <w:sz w:val="32"/>
          <w:szCs w:val="32"/>
          <w:lang w:eastAsia="zh"/>
        </w:rPr>
        <w:t>（一）人员管理类问题</w:t>
      </w:r>
    </w:p>
    <w:p w14:paraId="63760C7F">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1.起重司机、信号司索工、安装拆卸工等特种作业人员无证上岗、证件过期、人证不符</w:t>
      </w:r>
      <w:r>
        <w:rPr>
          <w:rFonts w:hint="eastAsia" w:ascii="仿宋" w:hAnsi="仿宋" w:eastAsia="仿宋" w:cs="仿宋"/>
          <w:sz w:val="32"/>
          <w:szCs w:val="32"/>
        </w:rPr>
        <w:t>；</w:t>
      </w:r>
      <w:r>
        <w:rPr>
          <w:rFonts w:hint="eastAsia" w:ascii="仿宋" w:hAnsi="仿宋" w:eastAsia="仿宋" w:cs="仿宋"/>
          <w:sz w:val="32"/>
          <w:szCs w:val="32"/>
          <w:lang w:eastAsia="zh"/>
        </w:rPr>
        <w:t>吊装作业时无专职安全员现场监护。</w:t>
      </w:r>
    </w:p>
    <w:p w14:paraId="42CA4565">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2</w:t>
      </w:r>
      <w:r>
        <w:rPr>
          <w:rFonts w:hint="eastAsia" w:ascii="仿宋" w:hAnsi="仿宋" w:eastAsia="仿宋" w:cs="仿宋"/>
          <w:sz w:val="32"/>
          <w:szCs w:val="32"/>
          <w:lang w:eastAsia="zh"/>
        </w:rPr>
        <w:t>.作业人员未接受岗前培训和安全技术交底。</w:t>
      </w:r>
    </w:p>
    <w:p w14:paraId="64D504B0">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3</w:t>
      </w:r>
      <w:r>
        <w:rPr>
          <w:rFonts w:hint="eastAsia" w:ascii="仿宋" w:hAnsi="仿宋" w:eastAsia="仿宋" w:cs="仿宋"/>
          <w:sz w:val="32"/>
          <w:szCs w:val="32"/>
          <w:lang w:eastAsia="zh"/>
        </w:rPr>
        <w:t>.信号指挥</w:t>
      </w:r>
      <w:r>
        <w:rPr>
          <w:rFonts w:hint="eastAsia" w:ascii="仿宋" w:hAnsi="仿宋" w:eastAsia="仿宋" w:cs="仿宋"/>
          <w:sz w:val="32"/>
          <w:szCs w:val="32"/>
        </w:rPr>
        <w:t>不统一</w:t>
      </w:r>
      <w:r>
        <w:rPr>
          <w:rFonts w:hint="eastAsia" w:ascii="仿宋" w:hAnsi="仿宋" w:eastAsia="仿宋" w:cs="仿宋"/>
          <w:sz w:val="32"/>
          <w:szCs w:val="32"/>
          <w:lang w:eastAsia="zh"/>
        </w:rPr>
        <w:t>，</w:t>
      </w:r>
      <w:r>
        <w:rPr>
          <w:rFonts w:hint="eastAsia" w:ascii="仿宋" w:hAnsi="仿宋" w:eastAsia="仿宋" w:cs="仿宋"/>
          <w:sz w:val="32"/>
          <w:szCs w:val="32"/>
        </w:rPr>
        <w:t>存在</w:t>
      </w:r>
      <w:r>
        <w:rPr>
          <w:rFonts w:hint="eastAsia" w:ascii="仿宋" w:hAnsi="仿宋" w:eastAsia="仿宋" w:cs="仿宋"/>
          <w:sz w:val="32"/>
          <w:szCs w:val="32"/>
          <w:lang w:eastAsia="zh"/>
        </w:rPr>
        <w:t>多人乱指挥、手势不标准、对讲机无专用频道</w:t>
      </w:r>
      <w:r>
        <w:rPr>
          <w:rFonts w:hint="eastAsia" w:ascii="仿宋" w:hAnsi="仿宋" w:eastAsia="仿宋" w:cs="仿宋"/>
          <w:sz w:val="32"/>
          <w:szCs w:val="32"/>
        </w:rPr>
        <w:t>等问题</w:t>
      </w:r>
      <w:r>
        <w:rPr>
          <w:rFonts w:hint="eastAsia" w:ascii="仿宋" w:hAnsi="仿宋" w:eastAsia="仿宋" w:cs="仿宋"/>
          <w:sz w:val="32"/>
          <w:szCs w:val="32"/>
          <w:lang w:eastAsia="zh"/>
        </w:rPr>
        <w:t>。</w:t>
      </w:r>
    </w:p>
    <w:p w14:paraId="5B21BB56">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4</w:t>
      </w:r>
      <w:r>
        <w:rPr>
          <w:rFonts w:hint="eastAsia" w:ascii="仿宋" w:hAnsi="仿宋" w:eastAsia="仿宋" w:cs="仿宋"/>
          <w:sz w:val="32"/>
          <w:szCs w:val="32"/>
          <w:lang w:eastAsia="zh"/>
        </w:rPr>
        <w:t>.监理单位未审查专项方案，未现场监督吊装作业，发现违规未及时制止。</w:t>
      </w:r>
    </w:p>
    <w:p w14:paraId="381CC58F">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5</w:t>
      </w:r>
      <w:r>
        <w:rPr>
          <w:rFonts w:hint="eastAsia" w:ascii="仿宋" w:hAnsi="仿宋" w:eastAsia="仿宋" w:cs="仿宋"/>
          <w:sz w:val="32"/>
          <w:szCs w:val="32"/>
          <w:lang w:eastAsia="zh"/>
        </w:rPr>
        <w:t>.未执行湖南省"一录入""六到场"制度，超规模危大工程未录入平台，关键人员不到场。</w:t>
      </w:r>
    </w:p>
    <w:p w14:paraId="42D3C755">
      <w:pPr>
        <w:spacing w:line="560" w:lineRule="exact"/>
        <w:ind w:firstLine="640" w:firstLineChars="200"/>
        <w:rPr>
          <w:rFonts w:hint="eastAsia" w:ascii="楷体" w:hAnsi="楷体" w:eastAsia="楷体" w:cs="楷体"/>
          <w:sz w:val="32"/>
          <w:szCs w:val="32"/>
          <w:lang w:eastAsia="zh"/>
        </w:rPr>
      </w:pPr>
      <w:r>
        <w:rPr>
          <w:rFonts w:ascii="楷体" w:hAnsi="楷体" w:eastAsia="楷体" w:cs="楷体"/>
          <w:sz w:val="32"/>
          <w:szCs w:val="32"/>
          <w:lang w:eastAsia="zh"/>
        </w:rPr>
        <w:t>（二）设备设施类问题</w:t>
      </w:r>
    </w:p>
    <w:p w14:paraId="5192CD30">
      <w:pPr>
        <w:spacing w:line="560" w:lineRule="exact"/>
        <w:ind w:firstLine="640" w:firstLineChars="200"/>
        <w:rPr>
          <w:rFonts w:hint="eastAsia" w:ascii="仿宋" w:hAnsi="仿宋" w:eastAsia="仿宋" w:cs="仿宋"/>
          <w:color w:val="4472C4" w:themeColor="accent1"/>
          <w:sz w:val="32"/>
          <w:szCs w:val="32"/>
          <w14:textFill>
            <w14:solidFill>
              <w14:schemeClr w14:val="accent1"/>
            </w14:solidFill>
          </w14:textFill>
        </w:rPr>
      </w:pPr>
      <w:r>
        <w:rPr>
          <w:rFonts w:hint="eastAsia" w:ascii="仿宋" w:hAnsi="仿宋" w:eastAsia="仿宋" w:cs="仿宋"/>
          <w:color w:val="4472C4" w:themeColor="accent1"/>
          <w:sz w:val="32"/>
          <w:szCs w:val="32"/>
          <w:lang w:eastAsia="zh"/>
          <w14:textFill>
            <w14:solidFill>
              <w14:schemeClr w14:val="accent1"/>
            </w14:solidFill>
          </w14:textFill>
        </w:rPr>
        <w:t>1.塔式起重机未联合验收和检测合格即投入使用。</w:t>
      </w:r>
    </w:p>
    <w:p w14:paraId="07D684F4">
      <w:pPr>
        <w:spacing w:line="560" w:lineRule="exact"/>
        <w:ind w:firstLine="640" w:firstLineChars="200"/>
        <w:rPr>
          <w:rFonts w:hint="eastAsia" w:ascii="仿宋" w:hAnsi="仿宋" w:eastAsia="仿宋" w:cs="仿宋"/>
          <w:sz w:val="32"/>
          <w:szCs w:val="32"/>
          <w:lang w:eastAsia="zh"/>
        </w:rPr>
      </w:pPr>
      <w:r>
        <w:rPr>
          <w:rFonts w:ascii="仿宋" w:hAnsi="仿宋" w:eastAsia="仿宋" w:cs="仿宋"/>
          <w:color w:val="4472C4" w:themeColor="accent1"/>
          <w:sz w:val="32"/>
          <w:szCs w:val="32"/>
          <w14:textFill>
            <w14:solidFill>
              <w14:schemeClr w14:val="accent1"/>
            </w14:solidFill>
          </w14:textFill>
        </w:rPr>
        <w:t>2.</w:t>
      </w:r>
      <w:r>
        <w:rPr>
          <w:rFonts w:hint="eastAsia" w:ascii="仿宋" w:hAnsi="仿宋" w:eastAsia="仿宋" w:cs="仿宋"/>
          <w:color w:val="4472C4" w:themeColor="accent1"/>
          <w:sz w:val="32"/>
          <w:szCs w:val="32"/>
          <w14:textFill>
            <w14:solidFill>
              <w14:schemeClr w14:val="accent1"/>
            </w14:solidFill>
          </w14:textFill>
        </w:rPr>
        <w:t>流动式起重机进场未验收</w:t>
      </w:r>
      <w:r>
        <w:rPr>
          <w:rFonts w:hint="eastAsia" w:ascii="仿宋" w:hAnsi="仿宋" w:eastAsia="仿宋" w:cs="仿宋"/>
          <w:color w:val="4472C4" w:themeColor="accent1"/>
          <w:sz w:val="32"/>
          <w:szCs w:val="32"/>
          <w:lang w:eastAsia="zh"/>
          <w14:textFill>
            <w14:solidFill>
              <w14:schemeClr w14:val="accent1"/>
            </w14:solidFill>
          </w14:textFill>
        </w:rPr>
        <w:t>即投入使用。</w:t>
      </w:r>
    </w:p>
    <w:p w14:paraId="4BB7484D">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3.起重机械力矩限制器、重量限制器、变幅限位、行走限位等安全装置失效或缺失。</w:t>
      </w:r>
    </w:p>
    <w:p w14:paraId="515D8CA3">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4.吊装钢丝绳磨损、断丝、锈蚀超标，卸扣变形、裂纹，吊具破损仍在使用。</w:t>
      </w:r>
    </w:p>
    <w:p w14:paraId="0CE91AD1">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5.预制构件吊环、预埋吊点质量不合格，未按规范设置和验收。</w:t>
      </w:r>
    </w:p>
    <w:p w14:paraId="65B66FFB">
      <w:pPr>
        <w:spacing w:line="560" w:lineRule="exact"/>
        <w:ind w:firstLine="640" w:firstLineChars="200"/>
        <w:rPr>
          <w:rFonts w:hint="eastAsia" w:ascii="楷体" w:hAnsi="楷体" w:eastAsia="楷体" w:cs="楷体"/>
          <w:sz w:val="32"/>
          <w:szCs w:val="32"/>
          <w:lang w:eastAsia="zh"/>
        </w:rPr>
      </w:pPr>
      <w:r>
        <w:rPr>
          <w:rFonts w:ascii="楷体" w:hAnsi="楷体" w:eastAsia="楷体" w:cs="楷体"/>
          <w:sz w:val="32"/>
          <w:szCs w:val="32"/>
          <w:lang w:eastAsia="zh"/>
        </w:rPr>
        <w:t>（三）方案与交底类问题</w:t>
      </w:r>
    </w:p>
    <w:p w14:paraId="22F2E8E5">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1.未编制装配式吊装专项施工方案，或方案未经审批、专家论证（超规模）擅自施工。</w:t>
      </w:r>
    </w:p>
    <w:p w14:paraId="5BDD6491">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2.专项方案内容简单，无针对性，与现场实际情况不符，未明确吊装顺序、吊点位置、安全措施。</w:t>
      </w:r>
    </w:p>
    <w:p w14:paraId="57680489">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3.安全技术交底流于形式，未分层次、分工种交底，作业人员未签字确认。</w:t>
      </w:r>
    </w:p>
    <w:p w14:paraId="4C82F142">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4.未编制安全生产事故应急救援预案，预案无针对性或不符合工程实际情况。</w:t>
      </w:r>
    </w:p>
    <w:p w14:paraId="566E439F">
      <w:pPr>
        <w:spacing w:line="560" w:lineRule="exact"/>
        <w:ind w:firstLine="640" w:firstLineChars="200"/>
        <w:rPr>
          <w:rFonts w:hint="eastAsia" w:ascii="楷体" w:hAnsi="楷体" w:eastAsia="楷体" w:cs="楷体"/>
          <w:sz w:val="32"/>
          <w:szCs w:val="32"/>
          <w:lang w:eastAsia="zh"/>
        </w:rPr>
      </w:pPr>
      <w:r>
        <w:rPr>
          <w:rFonts w:ascii="楷体" w:hAnsi="楷体" w:eastAsia="楷体" w:cs="楷体"/>
          <w:sz w:val="32"/>
          <w:szCs w:val="32"/>
          <w:lang w:eastAsia="zh"/>
        </w:rPr>
        <w:t>（四）现场作业类问题</w:t>
      </w:r>
    </w:p>
    <w:p w14:paraId="5F251203">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1.吊装作业未设置警戒区，无专人监护，无关人员在作业半径内停留、穿行。</w:t>
      </w:r>
    </w:p>
    <w:p w14:paraId="2C30E278">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2.恶劣天气（大风、大雨、大雾）强行进行露天吊装作业。</w:t>
      </w:r>
    </w:p>
    <w:p w14:paraId="6A6CE637">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3.吊装时斜拉斜吊、超载吊装，构件起吊、回转、就位速度过快。</w:t>
      </w:r>
    </w:p>
    <w:p w14:paraId="6EC8B6E7">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lang w:eastAsia="zh"/>
        </w:rPr>
        <w:t>4.预制构件吊装就位后未及时采取临时固定措施，构件晃动、倾倒风险大</w:t>
      </w:r>
      <w:r>
        <w:rPr>
          <w:rFonts w:hint="eastAsia" w:ascii="仿宋" w:hAnsi="仿宋" w:eastAsia="仿宋" w:cs="仿宋"/>
          <w:sz w:val="32"/>
          <w:szCs w:val="32"/>
        </w:rPr>
        <w:t>；</w:t>
      </w:r>
      <w:r>
        <w:rPr>
          <w:rFonts w:hint="eastAsia" w:ascii="仿宋" w:hAnsi="仿宋" w:eastAsia="仿宋" w:cs="仿宋"/>
          <w:color w:val="FF0000"/>
          <w:sz w:val="32"/>
          <w:szCs w:val="32"/>
        </w:rPr>
        <w:t>提前拆除固定措施。</w:t>
      </w:r>
    </w:p>
    <w:p w14:paraId="251D9D7A">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5.吊装作业平台、临边洞口防护不到位，高处作业人员未系安全带或安全带低挂高用。</w:t>
      </w:r>
    </w:p>
    <w:p w14:paraId="7C2F17F9">
      <w:pPr>
        <w:spacing w:line="560" w:lineRule="exact"/>
        <w:ind w:firstLine="640" w:firstLineChars="200"/>
        <w:rPr>
          <w:rFonts w:hint="eastAsia" w:ascii="仿宋_GB2312" w:hAnsi="仿宋_GB2312" w:eastAsia="仿宋_GB2312" w:cs="仿宋_GB2312"/>
          <w:sz w:val="32"/>
          <w:szCs w:val="32"/>
          <w:lang w:eastAsia="zh"/>
        </w:rPr>
      </w:pPr>
      <w:r>
        <w:rPr>
          <w:rFonts w:hint="eastAsia" w:ascii="仿宋_GB2312" w:hAnsi="仿宋_GB2312" w:eastAsia="仿宋_GB2312" w:cs="仿宋_GB2312"/>
          <w:sz w:val="32"/>
          <w:szCs w:val="32"/>
          <w:lang w:eastAsia="zh"/>
        </w:rPr>
        <w:br w:type="page"/>
      </w:r>
    </w:p>
    <w:p w14:paraId="35B7B6AD">
      <w:pPr>
        <w:spacing w:line="560" w:lineRule="exact"/>
        <w:jc w:val="center"/>
        <w:rPr>
          <w:rFonts w:hint="eastAsia" w:ascii="仿宋_GB2312" w:hAnsi="仿宋_GB2312" w:eastAsia="仿宋_GB2312" w:cs="仿宋_GB2312"/>
          <w:b/>
          <w:sz w:val="44"/>
          <w:szCs w:val="44"/>
        </w:rPr>
      </w:pPr>
      <w:r>
        <w:rPr>
          <w:rFonts w:hint="eastAsia" w:ascii="仿宋_GB2312" w:hAnsi="仿宋_GB2312" w:eastAsia="仿宋_GB2312" w:cs="仿宋_GB2312"/>
          <w:b/>
          <w:sz w:val="44"/>
          <w:szCs w:val="44"/>
        </w:rPr>
        <w:t>法律法规、规范性文件目录（秦轶俊）</w:t>
      </w:r>
    </w:p>
    <w:p w14:paraId="63E7D134">
      <w:pPr>
        <w:spacing w:before="160" w:after="80" w:line="360" w:lineRule="auto"/>
        <w:rPr>
          <w:rFonts w:hint="eastAsia" w:ascii="仿宋_GB2312" w:hAnsi="仿宋_GB2312" w:eastAsia="仿宋_GB2312" w:cs="仿宋_GB2312"/>
          <w:sz w:val="32"/>
          <w:szCs w:val="32"/>
        </w:rPr>
      </w:pPr>
      <w:r>
        <w:rPr>
          <w:rFonts w:hint="eastAsia" w:ascii="仿宋_GB2312" w:hAnsi="仿宋_GB2312" w:eastAsia="仿宋_GB2312" w:cs="仿宋_GB2312"/>
          <w:b/>
          <w:color w:val="000000"/>
          <w:sz w:val="32"/>
          <w:szCs w:val="32"/>
        </w:rPr>
        <w:t>一、安全生产相关法律法规</w:t>
      </w:r>
    </w:p>
    <w:p w14:paraId="4F51A73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1、《建筑法》</w:t>
      </w:r>
    </w:p>
    <w:p w14:paraId="0A897F7E">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2、《中华人民共和国安全生产法》</w:t>
      </w:r>
    </w:p>
    <w:p w14:paraId="57ECBE5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3、《建</w:t>
      </w:r>
      <w:r>
        <w:rPr>
          <w:rFonts w:hint="eastAsia" w:ascii="仿宋_GB2312" w:hAnsi="仿宋_GB2312" w:eastAsia="仿宋_GB2312" w:cs="仿宋_GB2312"/>
          <w:color w:val="000000"/>
          <w:sz w:val="32"/>
          <w:szCs w:val="32"/>
          <w:lang w:eastAsia="zh-CN"/>
        </w:rPr>
        <w:t>设</w:t>
      </w:r>
      <w:bookmarkStart w:id="11" w:name="_GoBack"/>
      <w:bookmarkEnd w:id="11"/>
      <w:r>
        <w:rPr>
          <w:rFonts w:hint="eastAsia" w:ascii="仿宋_GB2312" w:hAnsi="仿宋_GB2312" w:eastAsia="仿宋_GB2312" w:cs="仿宋_GB2312"/>
          <w:color w:val="000000"/>
          <w:sz w:val="32"/>
          <w:szCs w:val="32"/>
        </w:rPr>
        <w:t>工程安全生产管理条例》393号令</w:t>
      </w:r>
    </w:p>
    <w:p w14:paraId="304E167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4、《特种设备安全监察条例》373号令</w:t>
      </w:r>
    </w:p>
    <w:p w14:paraId="3EBFF84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5、《生产安全事故报告和调查处理条例》493号令</w:t>
      </w:r>
    </w:p>
    <w:p w14:paraId="65A4354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6、《安全生产许可证条例》</w:t>
      </w:r>
    </w:p>
    <w:p w14:paraId="679C9FD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7、《湖南省建设工程质量和安全生产管理条例》</w:t>
      </w:r>
    </w:p>
    <w:p w14:paraId="7EACB3A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8、《湖南省安全生产条例》</w:t>
      </w:r>
    </w:p>
    <w:p w14:paraId="4275D30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9、《中华人民共和国消防法》（中华人民共和国主席令第八十一号，2021年修正）</w:t>
      </w:r>
    </w:p>
    <w:p w14:paraId="3D2CC19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10、《建筑起重机械安全监督管理规定》（建设部令第166号）</w:t>
      </w:r>
    </w:p>
    <w:p w14:paraId="790B1A09">
      <w:pPr>
        <w:spacing w:before="160" w:after="80" w:line="360" w:lineRule="auto"/>
        <w:rPr>
          <w:rFonts w:hint="eastAsia" w:ascii="仿宋_GB2312" w:hAnsi="仿宋_GB2312" w:eastAsia="仿宋_GB2312" w:cs="仿宋_GB2312"/>
          <w:sz w:val="32"/>
          <w:szCs w:val="32"/>
        </w:rPr>
      </w:pPr>
      <w:r>
        <w:rPr>
          <w:rFonts w:hint="eastAsia" w:ascii="仿宋_GB2312" w:hAnsi="仿宋_GB2312" w:eastAsia="仿宋_GB2312" w:cs="仿宋_GB2312"/>
          <w:b/>
          <w:color w:val="000000"/>
          <w:sz w:val="32"/>
          <w:szCs w:val="32"/>
        </w:rPr>
        <w:t>二、规范性文件</w:t>
      </w:r>
    </w:p>
    <w:p w14:paraId="39F2D237">
      <w:pPr>
        <w:spacing w:before="120" w:after="60" w:line="360" w:lineRule="auto"/>
        <w:rPr>
          <w:rFonts w:hint="eastAsia" w:ascii="仿宋_GB2312" w:hAnsi="仿宋_GB2312" w:eastAsia="仿宋_GB2312" w:cs="仿宋_GB2312"/>
          <w:sz w:val="32"/>
          <w:szCs w:val="32"/>
        </w:rPr>
      </w:pPr>
      <w:r>
        <w:rPr>
          <w:rFonts w:hint="eastAsia" w:ascii="仿宋_GB2312" w:hAnsi="仿宋_GB2312" w:eastAsia="仿宋_GB2312" w:cs="仿宋_GB2312"/>
          <w:b/>
          <w:color w:val="000000"/>
          <w:sz w:val="32"/>
          <w:szCs w:val="32"/>
        </w:rPr>
        <w:t>（一）住建部文件</w:t>
      </w:r>
    </w:p>
    <w:p w14:paraId="3377671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1、《危险性较大的分部分项工程安全管理规定》</w:t>
      </w:r>
      <w:r>
        <w:rPr>
          <w:rFonts w:hint="eastAsia" w:ascii="仿宋_GB2312" w:hAnsi="仿宋_GB2312" w:eastAsia="仿宋_GB2312" w:cs="仿宋_GB2312"/>
          <w:color w:val="000000"/>
          <w:sz w:val="32"/>
          <w:szCs w:val="32"/>
          <w:lang w:eastAsia="zh-CN"/>
        </w:rPr>
        <w:t>住建</w:t>
      </w:r>
      <w:r>
        <w:rPr>
          <w:rFonts w:hint="eastAsia" w:ascii="仿宋_GB2312" w:hAnsi="仿宋_GB2312" w:eastAsia="仿宋_GB2312" w:cs="仿宋_GB2312"/>
          <w:color w:val="000000"/>
          <w:sz w:val="32"/>
          <w:szCs w:val="32"/>
        </w:rPr>
        <w:t>部令第37号</w:t>
      </w:r>
    </w:p>
    <w:p w14:paraId="06B9BDE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2、住房城乡建设部办公厅关于实施《危险性较大的分部分项工程安全管理规定》有关问题的通知(建办质〔2018〕31号)</w:t>
      </w:r>
    </w:p>
    <w:p w14:paraId="1EB7591B">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3、《住房城乡建设部办公厅关于严厉打击建筑施工安全生产非法违法行为的通知》（建办质[2017]56号）</w:t>
      </w:r>
    </w:p>
    <w:p w14:paraId="7AE222E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4、《关于印发起重机械、基坑工程等五项危险性较大的分部分项工程施工安全要点的通知》（建安办函[2017]12号）</w:t>
      </w:r>
    </w:p>
    <w:p w14:paraId="50618CF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5、《房屋建筑和市政基础设施工程危及生产安全施工工艺、设备和材料淘汰目录（第一批）》（中华人民共和国住房和城乡建设部公告2021年第214号）</w:t>
      </w:r>
    </w:p>
    <w:p w14:paraId="496A07F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6、《房屋建筑和市政基础设施工程禁止和限制使用技术目录（第二批）》</w:t>
      </w:r>
    </w:p>
    <w:p w14:paraId="03BFA07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7、《房屋市政工程生产安全重大事故隐患判定标准》（2024版）</w:t>
      </w:r>
    </w:p>
    <w:p w14:paraId="697AB42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8、《关于印发危险性较大的分部分项工程专项施工方案编制指南的通知》（建办质〔2021〕48号）</w:t>
      </w:r>
    </w:p>
    <w:p w14:paraId="235D9F8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9、《关于印发工程质量安全手册（试行）的通知》（建质〔2018〕95号）</w:t>
      </w:r>
    </w:p>
    <w:p w14:paraId="59BE88D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10、《危险性较大的分部分项工程专项施工方案严重缺陷清单（试行）》（建办质〔2024〕63号）</w:t>
      </w:r>
    </w:p>
    <w:p w14:paraId="7D95594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11、《房屋市政工程有限空间识别及施工安全作业指南（试行）》（建办质〔2025〕45号）</w:t>
      </w:r>
    </w:p>
    <w:p w14:paraId="658FE91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12、《建筑施工企业、工程项目安全生产管理机构设置及安全生产管理人员配备办法》（建质规〔2025〕3号）</w:t>
      </w:r>
    </w:p>
    <w:p w14:paraId="5CED020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13、《建筑施工特种作业人员管理规定》（建设部令第60号）</w:t>
      </w:r>
    </w:p>
    <w:p w14:paraId="0B7379A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14、《关于修改部分部门规章的决定》（建设部令第47号）</w:t>
      </w:r>
    </w:p>
    <w:p w14:paraId="680E842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15、《湖南省房屋市政工程安全生产治本攻坚三年行动实施方案》（湘建建函〔2024〕41号）</w:t>
      </w:r>
    </w:p>
    <w:p w14:paraId="0FEFFA5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16、《湖南省住房和城乡建设厅关于加强住房城乡建设领域动火作业安全管理的通知》（湘建质函〔2025〕69号）</w:t>
      </w:r>
    </w:p>
    <w:p w14:paraId="0463F4B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17、《湖南省建设工程质量安全监督管理总站关于进一步加强房屋市政工程建筑施工动火作业安全监管的通知》（2025年5月22日印发）</w:t>
      </w:r>
    </w:p>
    <w:p w14:paraId="09AEBAF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18、《关于进一步加强城镇燃气设施工程质量安全管理的通知》（湘建建函〔2025〕47号）</w:t>
      </w:r>
    </w:p>
    <w:p w14:paraId="0F46491B">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19、《湖南省住房城乡建设领域小散工程安全生产管理暂行办法》（湘建质〔2025〕58号）</w:t>
      </w:r>
    </w:p>
    <w:p w14:paraId="166F41F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20、《房屋建筑和市政基础设施工程施工安全监督规定》（住建部令第46号）</w:t>
      </w:r>
    </w:p>
    <w:p w14:paraId="45425A3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21、《房屋建筑和市政基础设施工程施工安全监督工作规程》（建质〔2014〕112号）</w:t>
      </w:r>
    </w:p>
    <w:p w14:paraId="1D8B3C95">
      <w:pPr>
        <w:spacing w:before="120" w:after="60" w:line="360" w:lineRule="auto"/>
        <w:rPr>
          <w:rFonts w:hint="eastAsia" w:ascii="仿宋_GB2312" w:hAnsi="仿宋_GB2312" w:eastAsia="仿宋_GB2312" w:cs="仿宋_GB2312"/>
          <w:sz w:val="32"/>
          <w:szCs w:val="32"/>
        </w:rPr>
      </w:pPr>
      <w:r>
        <w:rPr>
          <w:rFonts w:hint="eastAsia" w:ascii="仿宋_GB2312" w:hAnsi="仿宋_GB2312" w:eastAsia="仿宋_GB2312" w:cs="仿宋_GB2312"/>
          <w:b/>
          <w:color w:val="000000"/>
          <w:sz w:val="32"/>
          <w:szCs w:val="32"/>
        </w:rPr>
        <w:t>（二）相关文件：</w:t>
      </w:r>
    </w:p>
    <w:p w14:paraId="019FE2B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1、《湖南省住房和城乡建设厅关于加强房屋市政工程开工安全生产条件审查的通知》——湘建建〔2024〕124号</w:t>
      </w:r>
    </w:p>
    <w:p w14:paraId="6DCA58DB">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2、《湖南省建筑工程施工项目部和现场监理部关键岗位人员配备管理办法》——湘建建〔2020〕208号</w:t>
      </w:r>
    </w:p>
    <w:p w14:paraId="06BFAE7E">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3、《湖南省房屋市政工程建筑施工安全质量标准化考评实施细则》——湘建质〔2025〕115号</w:t>
      </w:r>
    </w:p>
    <w:p w14:paraId="0295CA3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4、关于印发《湖南省房屋建筑和市政工程施工许可管理实施细则》的通知（湘建质〔2025〕131号）</w:t>
      </w:r>
    </w:p>
    <w:p w14:paraId="477AE9BB">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5、《湖南省建筑起重机械安全生产管理办法》——湘建建〔2021〕208号</w:t>
      </w:r>
    </w:p>
    <w:p w14:paraId="516597A8">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6、《湖南省住房和城乡建设厅关于进一步加强我省建筑工程安全防护、文明施工措施费使用管理的通知》——湘建建〔2022〕227号</w:t>
      </w:r>
    </w:p>
    <w:p w14:paraId="4177E80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7、湖南省住房和城乡建设厅关于发布《建筑施工扬尘防治管理示例图集》的通知——湘建建〔2017〕256号</w:t>
      </w:r>
    </w:p>
    <w:p w14:paraId="300CAF1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8、《湖南省建筑施工项目经理质量安全违法违规行为记分管理实施细则（试行）》——湘建建〔2017〕151号</w:t>
      </w:r>
    </w:p>
    <w:p w14:paraId="71A572F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9、《湖南省建筑工程质量安全监理报告制度实施办法》——湘建建〔2021〕70号</w:t>
      </w:r>
    </w:p>
    <w:p w14:paraId="73398D9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10、《湖南省建筑施工特种作业人员管理规定》——湘建人教〔2021〕200号</w:t>
      </w:r>
    </w:p>
    <w:p w14:paraId="01F96B2B">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11、《湖南省住房和城乡建设厅关于贯彻落实&lt;危险性较大的分部分项工程安全管理规定&gt;的通知》——湘建建〔2019〕252号</w:t>
      </w:r>
    </w:p>
    <w:p w14:paraId="5891029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12、《建筑施工预防高处坠落、边坡坍塌专项治理行动实施方案》——湘质安监字〔2024〕8号</w:t>
      </w:r>
    </w:p>
    <w:p w14:paraId="4E1D8758">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13、《湖南省城市建筑垃圾管理实施细则》——湘建建〔2024〕9号</w:t>
      </w:r>
    </w:p>
    <w:p w14:paraId="5DDE0AB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14、《湖南省建筑工程绿色施工管理办法》——湘建建〔2021〕60号</w:t>
      </w:r>
    </w:p>
    <w:p w14:paraId="2A4D0C5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15、关于进一步加强房屋市政工程施工现场临时用电安全管理的通知——湘建建函〔2022〕75号</w:t>
      </w:r>
    </w:p>
    <w:p w14:paraId="68DEDF2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16、关于印发《湖南省房屋建筑和市政基础设施工程建设安全事故应急预案》的通知——湘建建函〔2023〕91号</w:t>
      </w:r>
    </w:p>
    <w:p w14:paraId="4924104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17、关于印发《全省房屋市政工程建筑起重机械生产安全专项治理行动实施方案》的通知——湘建建函〔2025〕22号</w:t>
      </w:r>
    </w:p>
    <w:p w14:paraId="079101E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18、关于印发《建筑施工预防高处坠落、边坡坍塌专项治理行动实施方案》的通知——湘质安监字〔2024〕8号</w:t>
      </w:r>
    </w:p>
    <w:p w14:paraId="6101F44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19、《湖南省住房和城乡建设厅关于印发〈湖南省建筑施工安全专家库及专家管理办法〉的通知》——湘建建〔2021〕142号</w:t>
      </w:r>
    </w:p>
    <w:p w14:paraId="2304EB9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20、关于严格落实房屋市政工程开工安全生产条件审查制度的通知</w:t>
      </w:r>
    </w:p>
    <w:p w14:paraId="0ECF92C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21、关于印发《建筑施工企业、工程项目安全生产管理机构设置及安全生产管理人员配备办法》的通知（建质规〔2025〕3号）</w:t>
      </w:r>
    </w:p>
    <w:p w14:paraId="4C3E53E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22、关于印发《房屋市政工程有限空间识别及施工安全作业指南（试行）》的通知（建办质〔2025〕45号）</w:t>
      </w:r>
    </w:p>
    <w:p w14:paraId="0E25919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23、关于严格落实房屋市政工程开工安全生产条件审查制度的通知（湘质安监字〔2025〕2号）</w:t>
      </w:r>
    </w:p>
    <w:p w14:paraId="524E60E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24、关于超规模危险性较大的分部分项工程及高边坡工程推行“一录入”“六到场”安全监督模式的通知（湘质安监字〔2026〕7号）</w:t>
      </w:r>
    </w:p>
    <w:p w14:paraId="23E8A07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25、关于进一步加强房屋市政工程建筑施工动火作业安全监管的通知（湘质安监字〔2025〕13号</w:t>
      </w:r>
    </w:p>
    <w:p w14:paraId="2E5FC1B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26、关于进一步加强房屋市政工程建设项目关键岗位人员和其他相关人员核查工作的通知《房建市政工程项目单位资质、关键岗位人员及其他相关人员核查依据（2026版）》（湘质安监字〔2026〕6号）</w:t>
      </w:r>
    </w:p>
    <w:p w14:paraId="2A96E82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27、《湖南省房屋市政工程施工现场关键岗位人员配备及履职管理办法》</w:t>
      </w:r>
    </w:p>
    <w:p w14:paraId="7A54671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28、《湖南省装配式混凝土建筑施工质量安全监督要点》</w:t>
      </w:r>
    </w:p>
    <w:p w14:paraId="13030E0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29、《建筑工程预防高处坠落事故专项整治工作方案》——湘建建函〔2017〕57号</w:t>
      </w:r>
    </w:p>
    <w:p w14:paraId="773D2EE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30、《湖南省住房城乡建设领域大气污染防治攻坚实施方案》——湘建建函〔2023〕43号</w:t>
      </w:r>
    </w:p>
    <w:p w14:paraId="013E2FE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31、省质安监总站《关于持续推进建筑施工预防高处坠落常态化治理工作的提示函》</w:t>
      </w:r>
    </w:p>
    <w:p w14:paraId="49BFDF9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32、《施工现场安全防护用具及机械设备使用监督管理规定》（建建〔1998〕164号）</w:t>
      </w:r>
    </w:p>
    <w:p w14:paraId="60F2AD8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33、《关于加强城市轨道交通工程关键节点风险管控的通知》（建办质[2017]68号）</w:t>
      </w:r>
    </w:p>
    <w:p w14:paraId="58F8066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34、《城市轨道交通工程质量安全检查指南》（建质〔2016〕173号）</w:t>
      </w:r>
    </w:p>
    <w:p w14:paraId="3E19BE7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35、《城市轨道交通工程关键节点风险管控指南》（建办质〔2017〕68号）</w:t>
      </w:r>
    </w:p>
    <w:p w14:paraId="7CAD6F90">
      <w:pPr>
        <w:spacing w:before="160" w:after="80" w:line="360" w:lineRule="auto"/>
        <w:rPr>
          <w:rFonts w:hint="eastAsia" w:ascii="仿宋_GB2312" w:hAnsi="仿宋_GB2312" w:eastAsia="仿宋_GB2312" w:cs="仿宋_GB2312"/>
          <w:sz w:val="32"/>
          <w:szCs w:val="32"/>
        </w:rPr>
      </w:pPr>
      <w:r>
        <w:rPr>
          <w:rFonts w:hint="eastAsia" w:ascii="仿宋_GB2312" w:hAnsi="仿宋_GB2312" w:eastAsia="仿宋_GB2312" w:cs="仿宋_GB2312"/>
          <w:b/>
          <w:color w:val="000000"/>
          <w:sz w:val="32"/>
          <w:szCs w:val="32"/>
        </w:rPr>
        <w:t>三、安全生产标准、技术规范</w:t>
      </w:r>
    </w:p>
    <w:p w14:paraId="249DE35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1、《建筑施工安全检查标准》JGJ59-2011</w:t>
      </w:r>
    </w:p>
    <w:p w14:paraId="58268BF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2、《建筑工程绿色施工规范》GB/T50905—2014</w:t>
      </w:r>
    </w:p>
    <w:p w14:paraId="59D37D8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3、《建设工程施工现场环境与卫生标准》JGJ146-2013</w:t>
      </w:r>
    </w:p>
    <w:p w14:paraId="2182BFB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4、《施工现场临时建筑物技术规范》JGJ/T188-2009</w:t>
      </w:r>
    </w:p>
    <w:p w14:paraId="3001A10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5、《建筑施工高处作业安全技术规范》JGJ80-2016</w:t>
      </w:r>
    </w:p>
    <w:p w14:paraId="498A6ED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6、《施工临时用电安全技术规范》JGJ/T46-2024</w:t>
      </w:r>
    </w:p>
    <w:p w14:paraId="5ECA1E6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7、《建筑基坑支护技术规程》JGJ120-2012</w:t>
      </w:r>
    </w:p>
    <w:p w14:paraId="0AFCD3B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8、《建筑基坑工程监测技术规范》GB50497-2019</w:t>
      </w:r>
    </w:p>
    <w:p w14:paraId="205226B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9、《建筑边坡工程技术规范》GB50330-2013</w:t>
      </w:r>
    </w:p>
    <w:p w14:paraId="0AA2EB4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10、《锚杆喷射砼支护技术规范》GB50086-2015</w:t>
      </w:r>
    </w:p>
    <w:p w14:paraId="2729E01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11、《建筑桩基技术规范》JGJ94—2008</w:t>
      </w:r>
    </w:p>
    <w:p w14:paraId="0C8764A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12、《建筑施工钢管扣件脚手架安全技术规范》JGJ130-2011</w:t>
      </w:r>
    </w:p>
    <w:p w14:paraId="412DCD7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13、《建筑施工碗扣式钢管脚手架安全技术规范》JGJ166—2016</w:t>
      </w:r>
    </w:p>
    <w:p w14:paraId="152F08F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14、《建筑施工门式钢管脚手架安全技术规范》JGJ/T128—2019</w:t>
      </w:r>
    </w:p>
    <w:p w14:paraId="4876FBCA">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15、《建筑施工工具式脚手架安全技术规范》JGJ202-2010</w:t>
      </w:r>
    </w:p>
    <w:p w14:paraId="17A63FF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16、《高处作业吊篮》GB/T19155-2017</w:t>
      </w:r>
    </w:p>
    <w:p w14:paraId="5FF18AF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17、《建筑施工大模板技术规程》JGJ/T47-2017</w:t>
      </w:r>
    </w:p>
    <w:p w14:paraId="506C756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18、《建筑施工模板安全技术规范》JGJ162—2008</w:t>
      </w:r>
    </w:p>
    <w:p w14:paraId="6BE0C42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19、《建筑机械使用安全技术规程》JGJ33-2012</w:t>
      </w:r>
    </w:p>
    <w:p w14:paraId="28D3422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20、《钢管满堂支架预压技术规程》JGJ/T194-2009</w:t>
      </w:r>
    </w:p>
    <w:p w14:paraId="4B9C93A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21、《塔式起重机安全技术规程》GB5144-2006</w:t>
      </w:r>
    </w:p>
    <w:p w14:paraId="50D83E5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22、《建筑拆除工程安全技术规范》JGJ147-2016</w:t>
      </w:r>
    </w:p>
    <w:p w14:paraId="12DC419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23、《施工现场机械设备检查技术规程》JGJ160—2016</w:t>
      </w:r>
    </w:p>
    <w:p w14:paraId="26CCD0E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24、《塔式起重机混凝土基础工程技术规程》JGJ/T187-2019</w:t>
      </w:r>
    </w:p>
    <w:p w14:paraId="1A76738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25、《建筑施工塔式起重机安装、使用、拆卸安全技术规程》JGJ196-2010</w:t>
      </w:r>
    </w:p>
    <w:p w14:paraId="4D3BAEF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26、《起重设备安装工程施工及验收规范》GB50278-2010</w:t>
      </w:r>
    </w:p>
    <w:p w14:paraId="05B3B27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27、《建筑施工承插型轮扣式钢管支架安全技术规程》DBJ43/323-2017</w:t>
      </w:r>
    </w:p>
    <w:p w14:paraId="59D2415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28、《施工升降机安全规程》GB10055-2007</w:t>
      </w:r>
    </w:p>
    <w:p w14:paraId="7220A23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29、《建筑施工升降机安装、使用、拆卸安全技术规程》JGJ215-2010</w:t>
      </w:r>
    </w:p>
    <w:p w14:paraId="68FBA6AA">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30、《龙门架及井架物料提升机安全技术规范》JGJ88-2010</w:t>
      </w:r>
    </w:p>
    <w:p w14:paraId="1935B8A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31、《建设工程施工现场消防安全技术规范》GB50720-2011</w:t>
      </w:r>
    </w:p>
    <w:p w14:paraId="3CFA946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32、《建筑施工起重吊装工程安全技术规范》JGJ276-2012</w:t>
      </w:r>
    </w:p>
    <w:p w14:paraId="741CC95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33、《建筑工程资料管理规程》JGJ/T185-2009</w:t>
      </w:r>
    </w:p>
    <w:p w14:paraId="0F646A0B">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34、《建设工程监理规范》GB/T50319-2013</w:t>
      </w:r>
    </w:p>
    <w:p w14:paraId="1A44E94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35、《市政工程施工安全检查标准》CJJ/T275-2018</w:t>
      </w:r>
    </w:p>
    <w:p w14:paraId="60B56AD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36、《建筑施工安全技术统一规范》GB50870-2013</w:t>
      </w:r>
    </w:p>
    <w:p w14:paraId="2AD04FC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37、《建筑与市政施工现场安全生产与职业健康通用规范》GB55034-2022</w:t>
      </w:r>
    </w:p>
    <w:p w14:paraId="1490B24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38、《施工脚手架通用规范》GB55023-2022</w:t>
      </w:r>
    </w:p>
    <w:p w14:paraId="0E13F76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39、《建筑与市政施工现场安全生产与职业健康通用规范》GB55034-2022（与第37项重复）</w:t>
      </w:r>
    </w:p>
    <w:p w14:paraId="2F0616D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40、《建筑施工易发事故防治安全标准》JGJ/T429-2018</w:t>
      </w:r>
    </w:p>
    <w:p w14:paraId="17A5E37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41、《建设工程施工现场供用电安全规范》GB50194-2014</w:t>
      </w:r>
    </w:p>
    <w:p w14:paraId="5214CF2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42、《湖南省附着式升降脚手架安全技术标准》DBJ43/T375-2021</w:t>
      </w:r>
    </w:p>
    <w:p w14:paraId="035D0E5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43、《施工现场建筑垃圾减量化技术标准》JGJ/T498-2024</w:t>
      </w:r>
    </w:p>
    <w:p w14:paraId="23FB4E3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44、《组合铝合金模板工程技术规程》JGJ386-2016</w:t>
      </w:r>
    </w:p>
    <w:p w14:paraId="7AF52398">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45、《装配式混凝土建筑技术标准》（GB/T51231-2016）</w:t>
      </w:r>
    </w:p>
    <w:p w14:paraId="29636938">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46、《起重机手势信号》（GB/T5082-2019）</w:t>
      </w:r>
    </w:p>
    <w:p w14:paraId="65C84B8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47、《混凝土结构工程施工规范》（GB50666-2011）</w:t>
      </w:r>
    </w:p>
    <w:p w14:paraId="50057C9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48、《有限空间作业安全技术规范》（GB46768-2025）</w:t>
      </w:r>
    </w:p>
    <w:p w14:paraId="7D8A6A5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49、《建筑防火通用规范》（GB55037-2022）</w:t>
      </w:r>
    </w:p>
    <w:p w14:paraId="421DE37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50、《消防设施通用规范》（GB55036-2022）</w:t>
      </w:r>
    </w:p>
    <w:p w14:paraId="0FAB5878">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51、《建筑施工升降设备设施检验标准》（JGJ305-2013）</w:t>
      </w:r>
    </w:p>
    <w:p w14:paraId="3B6DB51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52、《建筑施工用附着式升降作业安全防护平台》（JG/T546-2019）</w:t>
      </w:r>
    </w:p>
    <w:p w14:paraId="7AC8B70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53、《建筑施工脚手架安全技术统一标准》（GB51210-2016）</w:t>
      </w:r>
    </w:p>
    <w:p w14:paraId="01225D9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54、《建筑施工承插型盘扣式钢管脚手架安全技术标准》（JGJ/T231-2021）</w:t>
      </w:r>
    </w:p>
    <w:p w14:paraId="1E6C24D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55、《建筑施工铝合金模板技术规程》（DBJ43/T322-2017）</w:t>
      </w:r>
    </w:p>
    <w:p w14:paraId="35CF446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56、《高处作业分级》（GB3608-2025）</w:t>
      </w:r>
    </w:p>
    <w:p w14:paraId="6B7FC3A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57、《坠落防护 安全带》（GB6095-2021）</w:t>
      </w:r>
    </w:p>
    <w:p w14:paraId="1F82921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58、《安全帽》（GB2811-2019）</w:t>
      </w:r>
    </w:p>
    <w:p w14:paraId="6F2AAEA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59、《安全网》（GB5725-2019）</w:t>
      </w:r>
    </w:p>
    <w:p w14:paraId="537B2F0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60、《高处作业吊篮安装、拆卸、使用技术规程》（JB/T11699-2025）</w:t>
      </w:r>
    </w:p>
    <w:p w14:paraId="37C740C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61、《城市桥梁工程施工与质量验收规范》（CJJ2-2008）</w:t>
      </w:r>
    </w:p>
    <w:p w14:paraId="720C34EE">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62、《公路桥涵施工技术规范》（JTG/T3650-2020）</w:t>
      </w:r>
    </w:p>
    <w:p w14:paraId="5957823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63、《钢结构设计标准》（GB50017-2017）</w:t>
      </w:r>
    </w:p>
    <w:p w14:paraId="0D2BB6FA">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64、《桥梁悬臂浇筑施工技术标准》（CJJ/T281-2018）</w:t>
      </w:r>
    </w:p>
    <w:p w14:paraId="6117485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65、《钢结构焊接规范》（GB50661-2011）</w:t>
      </w:r>
    </w:p>
    <w:p w14:paraId="55403D2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66、《建筑深基坑工程施工安全技术规范》（JGJ311-2013）</w:t>
      </w:r>
    </w:p>
    <w:p w14:paraId="1C76D67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67、《建筑与市政地基基础通用规范》（GB55003-2021）</w:t>
      </w:r>
    </w:p>
    <w:p w14:paraId="160D554A">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68、《建筑地基基础工程施工规范》（GB51004-2015）</w:t>
      </w:r>
    </w:p>
    <w:p w14:paraId="188DC01E">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69、《建筑施工土石方工程安全技术规范》（JGJ180-2009）</w:t>
      </w:r>
    </w:p>
    <w:p w14:paraId="110FF64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70、《钢围堰工程技术标准》（GB/T51295-2018）</w:t>
      </w:r>
    </w:p>
    <w:p w14:paraId="2C6797D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71、《给水排水构筑物工程施工及验收规范》（GB50141-2008）</w:t>
      </w:r>
    </w:p>
    <w:p w14:paraId="1D383C9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72、《地下铁道工程施工质量验收标准》（GB/T50299-2018）</w:t>
      </w:r>
    </w:p>
    <w:p w14:paraId="1178420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73、《爆破安全规程》（GB6722-2014）</w:t>
      </w:r>
    </w:p>
    <w:p w14:paraId="4D898E43">
      <w:pPr>
        <w:spacing w:before="160" w:after="80" w:line="360" w:lineRule="auto"/>
        <w:rPr>
          <w:rFonts w:hint="eastAsia" w:ascii="仿宋_GB2312" w:hAnsi="仿宋_GB2312" w:eastAsia="仿宋_GB2312" w:cs="仿宋_GB2312"/>
          <w:sz w:val="32"/>
          <w:szCs w:val="32"/>
        </w:rPr>
      </w:pPr>
      <w:r>
        <w:rPr>
          <w:rFonts w:hint="eastAsia" w:ascii="仿宋_GB2312" w:hAnsi="仿宋_GB2312" w:eastAsia="仿宋_GB2312" w:cs="仿宋_GB2312"/>
          <w:b/>
          <w:color w:val="000000"/>
          <w:sz w:val="32"/>
          <w:szCs w:val="32"/>
        </w:rPr>
        <w:t>四、其他：</w:t>
      </w:r>
    </w:p>
    <w:p w14:paraId="31236F0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1、现场监理部、施工项目部应配备必要的检查和测试工具。</w:t>
      </w:r>
    </w:p>
    <w:p w14:paraId="3766BBA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2、安全监督人员在日常监督检查中将对项目部、现场监理部的安全管理人员学习标准、规范、规范性文件和现场是否购买标准规范进行检查。</w:t>
      </w:r>
    </w:p>
    <w:p w14:paraId="7B39CF4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3、安全生产技术标准、规范在各建筑书店均有出售，法律法规及规范性文件均可在各级建设行政主管部门网站上下载。</w:t>
      </w:r>
    </w:p>
    <w:p w14:paraId="73D1E049">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注：要求项目部在门口悬挂社会监督公示牌，每个项目门口悬挂文明施工公示牌。</w:t>
      </w:r>
    </w:p>
    <w:p w14:paraId="55963659">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p>
    <w:p w14:paraId="7EAFC879">
      <w:pPr>
        <w:spacing w:after="120" w:afterLines="50" w:line="380" w:lineRule="exact"/>
        <w:jc w:val="center"/>
        <w:rPr>
          <w:rFonts w:hint="eastAsia" w:ascii="黑体" w:hAnsi="黑体" w:eastAsia="黑体" w:cs="仿宋"/>
          <w:b/>
          <w:bCs/>
          <w:sz w:val="30"/>
          <w:szCs w:val="30"/>
        </w:rPr>
      </w:pPr>
      <w:r>
        <w:rPr>
          <w:rFonts w:hint="eastAsia" w:ascii="黑体" w:hAnsi="黑体" w:eastAsia="黑体" w:cs="仿宋"/>
          <w:b/>
          <w:bCs/>
          <w:sz w:val="30"/>
          <w:szCs w:val="30"/>
        </w:rPr>
        <w:t>湖南省建设工程质量安全监督机构廉洁自律“十不准”公开承诺书</w:t>
      </w:r>
    </w:p>
    <w:p w14:paraId="38AAC97C">
      <w:pPr>
        <w:spacing w:after="120" w:afterLines="50"/>
        <w:rPr>
          <w:rFonts w:hint="eastAsia" w:ascii="仿宋" w:hAnsi="仿宋" w:eastAsia="仿宋" w:cs="仿宋"/>
          <w:b/>
          <w:bCs/>
          <w:sz w:val="28"/>
          <w:szCs w:val="28"/>
        </w:rPr>
      </w:pPr>
      <w:r>
        <w:rPr>
          <w:rFonts w:hint="eastAsia" w:ascii="仿宋" w:hAnsi="仿宋" w:eastAsia="仿宋" w:cs="仿宋"/>
          <w:bCs/>
          <w:sz w:val="28"/>
          <w:szCs w:val="28"/>
        </w:rPr>
        <w:t>受监督工程项目名称：</w:t>
      </w:r>
    </w:p>
    <w:tbl>
      <w:tblPr>
        <w:tblStyle w:val="13"/>
        <w:tblW w:w="5212" w:type="pct"/>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4"/>
        <w:gridCol w:w="2183"/>
        <w:gridCol w:w="6687"/>
      </w:tblGrid>
      <w:tr w14:paraId="2A1C385C">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7" w:hRule="atLeast"/>
        </w:trPr>
        <w:tc>
          <w:tcPr>
            <w:tcW w:w="1460" w:type="pct"/>
            <w:gridSpan w:val="2"/>
            <w:tcBorders>
              <w:left w:val="single" w:color="auto" w:sz="4" w:space="0"/>
            </w:tcBorders>
            <w:vAlign w:val="center"/>
          </w:tcPr>
          <w:p w14:paraId="0B0079E2">
            <w:pPr>
              <w:snapToGrid w:val="0"/>
              <w:jc w:val="center"/>
              <w:rPr>
                <w:rFonts w:hint="eastAsia" w:ascii="仿宋_GB2312" w:hAnsi="仿宋" w:eastAsia="仿宋_GB2312" w:cs="仿宋"/>
                <w:bCs/>
                <w:sz w:val="24"/>
              </w:rPr>
            </w:pPr>
            <w:r>
              <w:rPr>
                <w:rFonts w:hint="eastAsia" w:ascii="仿宋_GB2312" w:hAnsi="仿宋" w:eastAsia="仿宋_GB2312" w:cs="仿宋"/>
                <w:bCs/>
                <w:sz w:val="24"/>
              </w:rPr>
              <w:t>承诺单位名称（签章）</w:t>
            </w:r>
          </w:p>
        </w:tc>
        <w:tc>
          <w:tcPr>
            <w:tcW w:w="3540" w:type="pct"/>
            <w:tcBorders>
              <w:left w:val="single" w:color="auto" w:sz="4" w:space="0"/>
              <w:right w:val="single" w:color="auto" w:sz="4" w:space="0"/>
            </w:tcBorders>
          </w:tcPr>
          <w:p w14:paraId="2C5092CB">
            <w:pPr>
              <w:snapToGrid w:val="0"/>
              <w:rPr>
                <w:rFonts w:hint="eastAsia" w:ascii="仿宋_GB2312" w:hAnsi="仿宋" w:eastAsia="仿宋_GB2312" w:cs="仿宋"/>
                <w:bCs/>
                <w:sz w:val="24"/>
              </w:rPr>
            </w:pPr>
          </w:p>
        </w:tc>
      </w:tr>
      <w:tr w14:paraId="6920D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460" w:type="pct"/>
            <w:gridSpan w:val="2"/>
            <w:vAlign w:val="center"/>
          </w:tcPr>
          <w:p w14:paraId="17AAE742">
            <w:pPr>
              <w:snapToGrid w:val="0"/>
              <w:jc w:val="center"/>
              <w:rPr>
                <w:rFonts w:hint="eastAsia" w:ascii="仿宋_GB2312" w:hAnsi="仿宋" w:eastAsia="仿宋_GB2312" w:cs="仿宋"/>
                <w:bCs/>
                <w:sz w:val="24"/>
              </w:rPr>
            </w:pPr>
            <w:r>
              <w:rPr>
                <w:rFonts w:hint="eastAsia" w:ascii="仿宋_GB2312" w:hAnsi="仿宋" w:eastAsia="仿宋_GB2312" w:cs="仿宋"/>
                <w:bCs/>
                <w:sz w:val="24"/>
              </w:rPr>
              <w:t>承诺人员签名及电话</w:t>
            </w:r>
          </w:p>
        </w:tc>
        <w:tc>
          <w:tcPr>
            <w:tcW w:w="3540" w:type="pct"/>
            <w:vAlign w:val="center"/>
          </w:tcPr>
          <w:p w14:paraId="12768D8B">
            <w:pPr>
              <w:snapToGrid w:val="0"/>
              <w:ind w:right="240"/>
              <w:jc w:val="right"/>
              <w:rPr>
                <w:rFonts w:hint="eastAsia" w:ascii="仿宋_GB2312" w:hAnsi="仿宋" w:eastAsia="仿宋_GB2312" w:cs="仿宋"/>
                <w:bCs/>
                <w:sz w:val="24"/>
              </w:rPr>
            </w:pPr>
            <w:r>
              <w:rPr>
                <w:rFonts w:hint="eastAsia" w:ascii="仿宋_GB2312" w:hAnsi="仿宋" w:eastAsia="仿宋_GB2312" w:cs="仿宋"/>
                <w:bCs/>
                <w:sz w:val="24"/>
              </w:rPr>
              <w:t>年月日</w:t>
            </w:r>
          </w:p>
        </w:tc>
      </w:tr>
      <w:tr w14:paraId="2622C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5000" w:type="pct"/>
            <w:gridSpan w:val="3"/>
            <w:vAlign w:val="center"/>
          </w:tcPr>
          <w:p w14:paraId="2C71D5C6">
            <w:pPr>
              <w:snapToGrid w:val="0"/>
              <w:jc w:val="center"/>
              <w:rPr>
                <w:rFonts w:hint="eastAsia" w:ascii="仿宋_GB2312" w:hAnsi="仿宋" w:eastAsia="仿宋_GB2312" w:cs="仿宋"/>
                <w:b/>
                <w:bCs/>
                <w:sz w:val="24"/>
              </w:rPr>
            </w:pPr>
            <w:r>
              <w:rPr>
                <w:rFonts w:hint="eastAsia" w:ascii="仿宋_GB2312" w:hAnsi="仿宋" w:eastAsia="仿宋_GB2312" w:cs="仿宋"/>
                <w:b/>
                <w:bCs/>
                <w:sz w:val="24"/>
              </w:rPr>
              <w:t>为认真履行职责，切实转变监督工作作风，现对以下内容郑重承诺，欢迎各方监督。</w:t>
            </w:r>
          </w:p>
        </w:tc>
      </w:tr>
      <w:tr w14:paraId="62A86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restart"/>
            <w:vAlign w:val="center"/>
          </w:tcPr>
          <w:p w14:paraId="1F0DFE04">
            <w:pPr>
              <w:snapToGrid w:val="0"/>
              <w:jc w:val="center"/>
              <w:rPr>
                <w:rFonts w:hint="eastAsia" w:ascii="仿宋_GB2312" w:hAnsi="仿宋" w:eastAsia="仿宋_GB2312" w:cs="仿宋"/>
                <w:bCs/>
                <w:sz w:val="24"/>
              </w:rPr>
            </w:pPr>
            <w:r>
              <w:rPr>
                <w:rFonts w:hint="eastAsia" w:ascii="仿宋_GB2312" w:hAnsi="仿宋" w:eastAsia="仿宋_GB2312" w:cs="仿宋"/>
                <w:bCs/>
                <w:sz w:val="24"/>
              </w:rPr>
              <w:t>“</w:t>
            </w:r>
          </w:p>
          <w:p w14:paraId="76D6988C">
            <w:pPr>
              <w:snapToGrid w:val="0"/>
              <w:jc w:val="center"/>
              <w:rPr>
                <w:rFonts w:hint="eastAsia" w:ascii="仿宋_GB2312" w:hAnsi="仿宋" w:eastAsia="仿宋_GB2312" w:cs="仿宋"/>
                <w:bCs/>
                <w:sz w:val="24"/>
              </w:rPr>
            </w:pPr>
            <w:r>
              <w:rPr>
                <w:rFonts w:hint="eastAsia" w:ascii="仿宋_GB2312" w:hAnsi="仿宋" w:eastAsia="仿宋_GB2312" w:cs="仿宋"/>
                <w:bCs/>
                <w:sz w:val="24"/>
              </w:rPr>
              <w:t>十</w:t>
            </w:r>
          </w:p>
          <w:p w14:paraId="21A71C6F">
            <w:pPr>
              <w:snapToGrid w:val="0"/>
              <w:jc w:val="center"/>
              <w:rPr>
                <w:rFonts w:hint="eastAsia" w:ascii="仿宋_GB2312" w:hAnsi="仿宋" w:eastAsia="仿宋_GB2312" w:cs="仿宋"/>
                <w:bCs/>
                <w:sz w:val="24"/>
              </w:rPr>
            </w:pPr>
            <w:r>
              <w:rPr>
                <w:rFonts w:hint="eastAsia" w:ascii="仿宋_GB2312" w:hAnsi="仿宋" w:eastAsia="仿宋_GB2312" w:cs="仿宋"/>
                <w:bCs/>
                <w:sz w:val="24"/>
              </w:rPr>
              <w:t>不</w:t>
            </w:r>
          </w:p>
          <w:p w14:paraId="22FAA59E">
            <w:pPr>
              <w:snapToGrid w:val="0"/>
              <w:jc w:val="center"/>
              <w:rPr>
                <w:rFonts w:hint="eastAsia" w:ascii="仿宋_GB2312" w:hAnsi="仿宋" w:eastAsia="仿宋_GB2312" w:cs="仿宋"/>
                <w:bCs/>
                <w:sz w:val="24"/>
              </w:rPr>
            </w:pPr>
            <w:r>
              <w:rPr>
                <w:rFonts w:hint="eastAsia" w:ascii="仿宋_GB2312" w:hAnsi="仿宋" w:eastAsia="仿宋_GB2312" w:cs="仿宋"/>
                <w:bCs/>
                <w:sz w:val="24"/>
              </w:rPr>
              <w:t>准</w:t>
            </w:r>
          </w:p>
          <w:p w14:paraId="04B06955">
            <w:pPr>
              <w:snapToGrid w:val="0"/>
              <w:jc w:val="center"/>
              <w:rPr>
                <w:rFonts w:hint="eastAsia" w:ascii="仿宋_GB2312" w:hAnsi="仿宋" w:eastAsia="仿宋_GB2312" w:cs="仿宋"/>
                <w:bCs/>
                <w:sz w:val="24"/>
              </w:rPr>
            </w:pPr>
            <w:r>
              <w:rPr>
                <w:rFonts w:hint="eastAsia" w:ascii="仿宋_GB2312" w:hAnsi="仿宋" w:eastAsia="仿宋_GB2312" w:cs="仿宋"/>
                <w:bCs/>
                <w:sz w:val="24"/>
              </w:rPr>
              <w:t>”</w:t>
            </w:r>
          </w:p>
          <w:p w14:paraId="7EC58790">
            <w:pPr>
              <w:snapToGrid w:val="0"/>
              <w:jc w:val="center"/>
              <w:rPr>
                <w:rFonts w:hint="eastAsia" w:ascii="仿宋_GB2312" w:hAnsi="仿宋" w:eastAsia="仿宋_GB2312" w:cs="仿宋"/>
                <w:bCs/>
                <w:sz w:val="24"/>
              </w:rPr>
            </w:pPr>
            <w:r>
              <w:rPr>
                <w:rFonts w:hint="eastAsia" w:ascii="仿宋_GB2312" w:hAnsi="仿宋" w:eastAsia="仿宋_GB2312" w:cs="仿宋"/>
                <w:bCs/>
                <w:sz w:val="24"/>
              </w:rPr>
              <w:t>公</w:t>
            </w:r>
          </w:p>
          <w:p w14:paraId="7AEEAD86">
            <w:pPr>
              <w:snapToGrid w:val="0"/>
              <w:jc w:val="center"/>
              <w:rPr>
                <w:rFonts w:hint="eastAsia" w:ascii="仿宋_GB2312" w:hAnsi="仿宋" w:eastAsia="仿宋_GB2312" w:cs="仿宋"/>
                <w:bCs/>
                <w:sz w:val="24"/>
              </w:rPr>
            </w:pPr>
            <w:r>
              <w:rPr>
                <w:rFonts w:hint="eastAsia" w:ascii="仿宋_GB2312" w:hAnsi="仿宋" w:eastAsia="仿宋_GB2312" w:cs="仿宋"/>
                <w:bCs/>
                <w:sz w:val="24"/>
              </w:rPr>
              <w:t>开</w:t>
            </w:r>
          </w:p>
          <w:p w14:paraId="3183E498">
            <w:pPr>
              <w:snapToGrid w:val="0"/>
              <w:jc w:val="center"/>
              <w:rPr>
                <w:rFonts w:hint="eastAsia" w:ascii="仿宋_GB2312" w:hAnsi="仿宋" w:eastAsia="仿宋_GB2312" w:cs="仿宋"/>
                <w:bCs/>
                <w:sz w:val="24"/>
              </w:rPr>
            </w:pPr>
            <w:r>
              <w:rPr>
                <w:rFonts w:hint="eastAsia" w:ascii="仿宋_GB2312" w:hAnsi="仿宋" w:eastAsia="仿宋_GB2312" w:cs="仿宋"/>
                <w:bCs/>
                <w:sz w:val="24"/>
              </w:rPr>
              <w:t>承</w:t>
            </w:r>
          </w:p>
          <w:p w14:paraId="2BE558E3">
            <w:pPr>
              <w:snapToGrid w:val="0"/>
              <w:jc w:val="center"/>
              <w:rPr>
                <w:rFonts w:hint="eastAsia" w:ascii="仿宋_GB2312" w:hAnsi="仿宋" w:eastAsia="仿宋_GB2312" w:cs="仿宋"/>
                <w:bCs/>
                <w:sz w:val="24"/>
              </w:rPr>
            </w:pPr>
            <w:r>
              <w:rPr>
                <w:rFonts w:hint="eastAsia" w:ascii="仿宋_GB2312" w:hAnsi="仿宋" w:eastAsia="仿宋_GB2312" w:cs="仿宋"/>
                <w:bCs/>
                <w:sz w:val="24"/>
              </w:rPr>
              <w:t>诺</w:t>
            </w:r>
          </w:p>
          <w:p w14:paraId="188FC2C0">
            <w:pPr>
              <w:snapToGrid w:val="0"/>
              <w:jc w:val="center"/>
              <w:rPr>
                <w:rFonts w:hint="eastAsia" w:ascii="仿宋_GB2312" w:hAnsi="仿宋" w:eastAsia="仿宋_GB2312" w:cs="仿宋"/>
                <w:bCs/>
                <w:sz w:val="24"/>
              </w:rPr>
            </w:pPr>
            <w:r>
              <w:rPr>
                <w:rFonts w:hint="eastAsia" w:ascii="仿宋_GB2312" w:hAnsi="仿宋" w:eastAsia="仿宋_GB2312" w:cs="仿宋"/>
                <w:bCs/>
                <w:sz w:val="24"/>
              </w:rPr>
              <w:t>主</w:t>
            </w:r>
          </w:p>
          <w:p w14:paraId="5E2F01C3">
            <w:pPr>
              <w:snapToGrid w:val="0"/>
              <w:jc w:val="center"/>
              <w:rPr>
                <w:rFonts w:hint="eastAsia" w:ascii="仿宋_GB2312" w:hAnsi="仿宋" w:eastAsia="仿宋_GB2312" w:cs="仿宋"/>
                <w:bCs/>
                <w:sz w:val="24"/>
              </w:rPr>
            </w:pPr>
            <w:r>
              <w:rPr>
                <w:rFonts w:hint="eastAsia" w:ascii="仿宋_GB2312" w:hAnsi="仿宋" w:eastAsia="仿宋_GB2312" w:cs="仿宋"/>
                <w:bCs/>
                <w:sz w:val="24"/>
              </w:rPr>
              <w:t>要</w:t>
            </w:r>
          </w:p>
          <w:p w14:paraId="4C6370A7">
            <w:pPr>
              <w:snapToGrid w:val="0"/>
              <w:jc w:val="center"/>
              <w:rPr>
                <w:rFonts w:hint="eastAsia" w:ascii="仿宋_GB2312" w:hAnsi="仿宋" w:eastAsia="仿宋_GB2312" w:cs="仿宋"/>
                <w:bCs/>
                <w:sz w:val="24"/>
              </w:rPr>
            </w:pPr>
            <w:r>
              <w:rPr>
                <w:rFonts w:hint="eastAsia" w:ascii="仿宋_GB2312" w:hAnsi="仿宋" w:eastAsia="仿宋_GB2312" w:cs="仿宋"/>
                <w:bCs/>
                <w:sz w:val="24"/>
              </w:rPr>
              <w:t>内</w:t>
            </w:r>
          </w:p>
          <w:p w14:paraId="1DE59634">
            <w:pPr>
              <w:snapToGrid w:val="0"/>
              <w:jc w:val="center"/>
              <w:rPr>
                <w:rFonts w:hint="eastAsia" w:ascii="仿宋_GB2312" w:hAnsi="仿宋" w:eastAsia="仿宋_GB2312" w:cs="仿宋"/>
                <w:bCs/>
                <w:sz w:val="24"/>
              </w:rPr>
            </w:pPr>
            <w:r>
              <w:rPr>
                <w:rFonts w:hint="eastAsia" w:ascii="仿宋_GB2312" w:hAnsi="仿宋" w:eastAsia="仿宋_GB2312" w:cs="仿宋"/>
                <w:bCs/>
                <w:sz w:val="24"/>
              </w:rPr>
              <w:t>容</w:t>
            </w:r>
          </w:p>
        </w:tc>
        <w:tc>
          <w:tcPr>
            <w:tcW w:w="4696" w:type="pct"/>
            <w:gridSpan w:val="2"/>
          </w:tcPr>
          <w:p w14:paraId="0BC01313">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1．不准在实施监督过程中降低标准、弄虚作假、滥用职权、徇私舞弊或玩忽职守、办事拖拉、态度恶劣、设置障碍、以权谋私。</w:t>
            </w:r>
          </w:p>
        </w:tc>
      </w:tr>
      <w:tr w14:paraId="59BA1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725C6D8C">
            <w:pPr>
              <w:snapToGrid w:val="0"/>
              <w:rPr>
                <w:rFonts w:hint="eastAsia" w:ascii="仿宋_GB2312" w:hAnsi="仿宋" w:eastAsia="仿宋_GB2312" w:cs="仿宋"/>
                <w:bCs/>
                <w:sz w:val="24"/>
              </w:rPr>
            </w:pPr>
          </w:p>
        </w:tc>
        <w:tc>
          <w:tcPr>
            <w:tcW w:w="4696" w:type="pct"/>
            <w:gridSpan w:val="2"/>
          </w:tcPr>
          <w:p w14:paraId="5EE386DF">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2．不准在实施监督过程或执行其他公务活动中收受红包礼金（含管理服务对象、下属单位和个人，以及其他与行使职权有关系的单位和个人所送的礼金、消费卡、电子红包和有价证券、股权及其他金融产品等财物）或违规接受吃请、旅游、健身、娱乐等活动安排。</w:t>
            </w:r>
          </w:p>
        </w:tc>
      </w:tr>
      <w:tr w14:paraId="276AD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525DB08D">
            <w:pPr>
              <w:snapToGrid w:val="0"/>
              <w:rPr>
                <w:rFonts w:hint="eastAsia" w:ascii="仿宋_GB2312" w:hAnsi="仿宋" w:eastAsia="仿宋_GB2312" w:cs="仿宋"/>
                <w:bCs/>
                <w:sz w:val="24"/>
              </w:rPr>
            </w:pPr>
          </w:p>
        </w:tc>
        <w:tc>
          <w:tcPr>
            <w:tcW w:w="4696" w:type="pct"/>
            <w:gridSpan w:val="2"/>
          </w:tcPr>
          <w:p w14:paraId="6F4AE61D">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3．不准介绍和指定（变相指定）分包施工队伍、检测试验单位、中介机构，不准推销建筑材料、构配件及设备等。</w:t>
            </w:r>
          </w:p>
        </w:tc>
      </w:tr>
      <w:tr w14:paraId="559A2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49FA9FA7">
            <w:pPr>
              <w:snapToGrid w:val="0"/>
              <w:rPr>
                <w:rFonts w:hint="eastAsia" w:ascii="仿宋_GB2312" w:hAnsi="仿宋" w:eastAsia="仿宋_GB2312" w:cs="仿宋"/>
                <w:bCs/>
                <w:sz w:val="24"/>
              </w:rPr>
            </w:pPr>
          </w:p>
        </w:tc>
        <w:tc>
          <w:tcPr>
            <w:tcW w:w="4696" w:type="pct"/>
            <w:gridSpan w:val="2"/>
          </w:tcPr>
          <w:p w14:paraId="2ECBA588">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4．不准违反规定在管理服务对象以及其他行使职权有关系的单位（企业）、中介机构、协会等兼职（挂证）取酬，从事有偿中介活动，各类个人“资格证书”不得“挂证或注册”在本监督机构以外的其他任何单位(含企业或中介机构)。</w:t>
            </w:r>
          </w:p>
        </w:tc>
      </w:tr>
      <w:tr w14:paraId="5794D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14DA12FF">
            <w:pPr>
              <w:snapToGrid w:val="0"/>
              <w:rPr>
                <w:rFonts w:hint="eastAsia" w:ascii="仿宋_GB2312" w:hAnsi="仿宋" w:eastAsia="仿宋_GB2312" w:cs="仿宋"/>
                <w:bCs/>
                <w:sz w:val="24"/>
              </w:rPr>
            </w:pPr>
          </w:p>
        </w:tc>
        <w:tc>
          <w:tcPr>
            <w:tcW w:w="4696" w:type="pct"/>
            <w:gridSpan w:val="2"/>
          </w:tcPr>
          <w:p w14:paraId="0D17729E">
            <w:pPr>
              <w:tabs>
                <w:tab w:val="left" w:pos="3450"/>
              </w:tabs>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5．不准到管理服务对象以及其他行使职权有关的单位（企业）、中介机构及个人处报销应由本人支付的各项费用。</w:t>
            </w:r>
          </w:p>
        </w:tc>
      </w:tr>
      <w:tr w14:paraId="05C0F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304" w:type="pct"/>
            <w:vMerge w:val="continue"/>
          </w:tcPr>
          <w:p w14:paraId="031ADAD6">
            <w:pPr>
              <w:snapToGrid w:val="0"/>
              <w:rPr>
                <w:rFonts w:hint="eastAsia" w:ascii="仿宋_GB2312" w:hAnsi="仿宋" w:eastAsia="仿宋_GB2312" w:cs="仿宋"/>
                <w:bCs/>
                <w:sz w:val="24"/>
              </w:rPr>
            </w:pPr>
          </w:p>
        </w:tc>
        <w:tc>
          <w:tcPr>
            <w:tcW w:w="4696" w:type="pct"/>
            <w:gridSpan w:val="2"/>
          </w:tcPr>
          <w:p w14:paraId="3849E41D">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6．不准在工作日及执行公务和值班期间饮酒,借调研指导检查之名到下级单位吃喝,或者用公款相互宴请、娱乐等消费。</w:t>
            </w:r>
          </w:p>
        </w:tc>
      </w:tr>
      <w:tr w14:paraId="3E692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56109CBA">
            <w:pPr>
              <w:snapToGrid w:val="0"/>
              <w:rPr>
                <w:rFonts w:hint="eastAsia" w:ascii="仿宋_GB2312" w:hAnsi="仿宋" w:eastAsia="仿宋_GB2312" w:cs="仿宋"/>
                <w:bCs/>
                <w:sz w:val="24"/>
              </w:rPr>
            </w:pPr>
          </w:p>
        </w:tc>
        <w:tc>
          <w:tcPr>
            <w:tcW w:w="4696" w:type="pct"/>
            <w:gridSpan w:val="2"/>
            <w:vAlign w:val="center"/>
          </w:tcPr>
          <w:p w14:paraId="56596449">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7．不准利用节假日、生日、住院、婚丧喜庆事宜等非公务活动索要、收受红包礼金。</w:t>
            </w:r>
          </w:p>
        </w:tc>
      </w:tr>
      <w:tr w14:paraId="6D50B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621A7CF4">
            <w:pPr>
              <w:snapToGrid w:val="0"/>
              <w:rPr>
                <w:rFonts w:hint="eastAsia" w:ascii="仿宋_GB2312" w:hAnsi="仿宋" w:eastAsia="仿宋_GB2312" w:cs="仿宋"/>
                <w:bCs/>
                <w:sz w:val="24"/>
              </w:rPr>
            </w:pPr>
          </w:p>
        </w:tc>
        <w:tc>
          <w:tcPr>
            <w:tcW w:w="4696" w:type="pct"/>
            <w:gridSpan w:val="2"/>
          </w:tcPr>
          <w:p w14:paraId="2D388B9C">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8．不准利用职权进行权钱交易，权色交易或利用职务上的影响为亲属及其他特定关系人谋取利益和特殊照顾（含接受打招呼），或者纵容、默许配偶、子女及其配偶等亲属和其他特定关系人收受红包礼金。</w:t>
            </w:r>
          </w:p>
        </w:tc>
      </w:tr>
      <w:tr w14:paraId="2528A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304" w:type="pct"/>
            <w:vMerge w:val="continue"/>
          </w:tcPr>
          <w:p w14:paraId="4CF8079D">
            <w:pPr>
              <w:snapToGrid w:val="0"/>
              <w:rPr>
                <w:rFonts w:hint="eastAsia" w:ascii="仿宋_GB2312" w:hAnsi="仿宋" w:eastAsia="仿宋_GB2312" w:cs="仿宋"/>
                <w:bCs/>
                <w:sz w:val="24"/>
              </w:rPr>
            </w:pPr>
          </w:p>
        </w:tc>
        <w:tc>
          <w:tcPr>
            <w:tcW w:w="4696" w:type="pct"/>
            <w:gridSpan w:val="2"/>
            <w:vAlign w:val="center"/>
          </w:tcPr>
          <w:p w14:paraId="6248FD41">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9．不准工作时间无故迟到早退、脱岗离岗、做与工作无关的事情。</w:t>
            </w:r>
          </w:p>
        </w:tc>
      </w:tr>
      <w:tr w14:paraId="22872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04" w:type="pct"/>
            <w:vMerge w:val="continue"/>
          </w:tcPr>
          <w:p w14:paraId="232A1662">
            <w:pPr>
              <w:snapToGrid w:val="0"/>
              <w:rPr>
                <w:rFonts w:hint="eastAsia" w:ascii="仿宋_GB2312" w:hAnsi="仿宋" w:eastAsia="仿宋_GB2312" w:cs="仿宋"/>
                <w:bCs/>
                <w:sz w:val="24"/>
              </w:rPr>
            </w:pPr>
          </w:p>
        </w:tc>
        <w:tc>
          <w:tcPr>
            <w:tcW w:w="4696" w:type="pct"/>
            <w:gridSpan w:val="2"/>
            <w:vAlign w:val="center"/>
          </w:tcPr>
          <w:p w14:paraId="20A98605">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10．不准从事有悖社会公德、职业道德、家庭美德的活动。</w:t>
            </w:r>
          </w:p>
        </w:tc>
      </w:tr>
      <w:tr w14:paraId="0C283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restart"/>
            <w:vAlign w:val="center"/>
          </w:tcPr>
          <w:p w14:paraId="370375AD">
            <w:pPr>
              <w:snapToGrid w:val="0"/>
              <w:jc w:val="center"/>
              <w:rPr>
                <w:rFonts w:hint="eastAsia" w:ascii="仿宋_GB2312" w:hAnsi="仿宋" w:eastAsia="仿宋_GB2312" w:cs="仿宋"/>
                <w:bCs/>
                <w:sz w:val="24"/>
              </w:rPr>
            </w:pPr>
            <w:r>
              <w:rPr>
                <w:rFonts w:hint="eastAsia" w:ascii="仿宋_GB2312" w:hAnsi="仿宋" w:eastAsia="仿宋_GB2312" w:cs="仿宋"/>
                <w:bCs/>
                <w:sz w:val="24"/>
              </w:rPr>
              <w:t>社</w:t>
            </w:r>
          </w:p>
          <w:p w14:paraId="1AC634F5">
            <w:pPr>
              <w:snapToGrid w:val="0"/>
              <w:jc w:val="center"/>
              <w:rPr>
                <w:rFonts w:hint="eastAsia" w:ascii="仿宋_GB2312" w:hAnsi="仿宋" w:eastAsia="仿宋_GB2312" w:cs="仿宋"/>
                <w:bCs/>
                <w:sz w:val="24"/>
              </w:rPr>
            </w:pPr>
            <w:r>
              <w:rPr>
                <w:rFonts w:hint="eastAsia" w:ascii="仿宋_GB2312" w:hAnsi="仿宋" w:eastAsia="仿宋_GB2312" w:cs="仿宋"/>
                <w:bCs/>
                <w:sz w:val="24"/>
              </w:rPr>
              <w:t>会</w:t>
            </w:r>
          </w:p>
          <w:p w14:paraId="40EA5CF1">
            <w:pPr>
              <w:snapToGrid w:val="0"/>
              <w:jc w:val="center"/>
              <w:rPr>
                <w:rFonts w:hint="eastAsia" w:ascii="仿宋_GB2312" w:hAnsi="仿宋" w:eastAsia="仿宋_GB2312" w:cs="仿宋"/>
                <w:bCs/>
                <w:sz w:val="24"/>
              </w:rPr>
            </w:pPr>
            <w:r>
              <w:rPr>
                <w:rFonts w:hint="eastAsia" w:ascii="仿宋_GB2312" w:hAnsi="仿宋" w:eastAsia="仿宋_GB2312" w:cs="仿宋"/>
                <w:bCs/>
                <w:sz w:val="24"/>
              </w:rPr>
              <w:t>监</w:t>
            </w:r>
          </w:p>
          <w:p w14:paraId="79FC5D64">
            <w:pPr>
              <w:snapToGrid w:val="0"/>
              <w:jc w:val="center"/>
              <w:rPr>
                <w:rFonts w:hint="eastAsia" w:ascii="仿宋_GB2312" w:hAnsi="仿宋" w:eastAsia="仿宋_GB2312" w:cs="仿宋"/>
                <w:bCs/>
                <w:sz w:val="24"/>
              </w:rPr>
            </w:pPr>
            <w:r>
              <w:rPr>
                <w:rFonts w:hint="eastAsia" w:ascii="仿宋_GB2312" w:hAnsi="仿宋" w:eastAsia="仿宋_GB2312" w:cs="仿宋"/>
                <w:bCs/>
                <w:sz w:val="24"/>
              </w:rPr>
              <w:t>督</w:t>
            </w:r>
          </w:p>
          <w:p w14:paraId="6197CF58">
            <w:pPr>
              <w:snapToGrid w:val="0"/>
              <w:jc w:val="center"/>
              <w:rPr>
                <w:rFonts w:hint="eastAsia" w:ascii="仿宋_GB2312" w:hAnsi="仿宋" w:eastAsia="仿宋_GB2312" w:cs="仿宋"/>
                <w:bCs/>
                <w:sz w:val="24"/>
              </w:rPr>
            </w:pPr>
            <w:r>
              <w:rPr>
                <w:rFonts w:hint="eastAsia" w:ascii="仿宋_GB2312" w:hAnsi="仿宋" w:eastAsia="仿宋_GB2312" w:cs="仿宋"/>
                <w:bCs/>
                <w:sz w:val="24"/>
              </w:rPr>
              <w:t>单</w:t>
            </w:r>
          </w:p>
          <w:p w14:paraId="17FA534A">
            <w:pPr>
              <w:snapToGrid w:val="0"/>
              <w:jc w:val="center"/>
              <w:rPr>
                <w:rFonts w:hint="eastAsia" w:ascii="仿宋_GB2312" w:hAnsi="仿宋" w:eastAsia="仿宋_GB2312" w:cs="仿宋"/>
                <w:bCs/>
                <w:sz w:val="24"/>
              </w:rPr>
            </w:pPr>
            <w:r>
              <w:rPr>
                <w:rFonts w:hint="eastAsia" w:ascii="仿宋_GB2312" w:hAnsi="仿宋" w:eastAsia="仿宋_GB2312" w:cs="仿宋"/>
                <w:bCs/>
                <w:sz w:val="24"/>
              </w:rPr>
              <w:t>位</w:t>
            </w:r>
          </w:p>
        </w:tc>
        <w:tc>
          <w:tcPr>
            <w:tcW w:w="4696" w:type="pct"/>
            <w:gridSpan w:val="2"/>
            <w:vAlign w:val="center"/>
          </w:tcPr>
          <w:p w14:paraId="7959FC12">
            <w:pPr>
              <w:tabs>
                <w:tab w:val="right" w:pos="8190"/>
              </w:tabs>
              <w:ind w:left="6360" w:hanging="6360" w:hangingChars="2650"/>
              <w:jc w:val="left"/>
              <w:rPr>
                <w:rFonts w:hint="eastAsia" w:ascii="仿宋_GB2312" w:hAnsi="仿宋" w:eastAsia="仿宋_GB2312" w:cs="仿宋"/>
                <w:bCs/>
                <w:sz w:val="24"/>
              </w:rPr>
            </w:pPr>
            <w:r>
              <w:rPr>
                <w:rFonts w:hint="eastAsia" w:ascii="仿宋_GB2312" w:hAnsi="仿宋" w:eastAsia="仿宋_GB2312" w:cs="仿宋"/>
                <w:bCs/>
                <w:sz w:val="24"/>
              </w:rPr>
              <w:t>建设单位签章：           负责人签名及电话                  年  月  日</w:t>
            </w:r>
          </w:p>
        </w:tc>
      </w:tr>
      <w:tr w14:paraId="7E7D1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7D9D208B">
            <w:pPr>
              <w:snapToGrid w:val="0"/>
              <w:rPr>
                <w:rFonts w:hint="eastAsia" w:ascii="仿宋_GB2312" w:hAnsi="仿宋" w:eastAsia="仿宋_GB2312" w:cs="仿宋"/>
                <w:bCs/>
                <w:sz w:val="24"/>
              </w:rPr>
            </w:pPr>
          </w:p>
        </w:tc>
        <w:tc>
          <w:tcPr>
            <w:tcW w:w="4696" w:type="pct"/>
            <w:gridSpan w:val="2"/>
            <w:vAlign w:val="center"/>
          </w:tcPr>
          <w:p w14:paraId="0FF67F44">
            <w:pPr>
              <w:ind w:left="7320" w:hanging="7320" w:hangingChars="3050"/>
              <w:jc w:val="left"/>
              <w:rPr>
                <w:rFonts w:hint="eastAsia" w:ascii="仿宋_GB2312" w:hAnsi="仿宋" w:eastAsia="仿宋_GB2312" w:cs="仿宋"/>
                <w:bCs/>
                <w:sz w:val="24"/>
              </w:rPr>
            </w:pPr>
            <w:r>
              <w:rPr>
                <w:rFonts w:hint="eastAsia" w:ascii="仿宋_GB2312" w:hAnsi="仿宋" w:eastAsia="仿宋_GB2312" w:cs="仿宋"/>
                <w:bCs/>
                <w:sz w:val="24"/>
              </w:rPr>
              <w:t>施工单位签章：           负责人签名及电话                  年  月  日</w:t>
            </w:r>
          </w:p>
        </w:tc>
      </w:tr>
      <w:tr w14:paraId="2FF9F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1FD3A701">
            <w:pPr>
              <w:snapToGrid w:val="0"/>
              <w:rPr>
                <w:rFonts w:hint="eastAsia" w:ascii="仿宋_GB2312" w:hAnsi="仿宋" w:eastAsia="仿宋_GB2312" w:cs="仿宋"/>
                <w:bCs/>
                <w:sz w:val="24"/>
              </w:rPr>
            </w:pPr>
          </w:p>
        </w:tc>
        <w:tc>
          <w:tcPr>
            <w:tcW w:w="4696" w:type="pct"/>
            <w:gridSpan w:val="2"/>
            <w:vAlign w:val="center"/>
          </w:tcPr>
          <w:p w14:paraId="15BA87D7">
            <w:pPr>
              <w:ind w:left="6360" w:hanging="6360" w:hangingChars="2650"/>
              <w:jc w:val="left"/>
              <w:rPr>
                <w:rFonts w:hint="eastAsia" w:ascii="仿宋_GB2312" w:hAnsi="仿宋" w:eastAsia="仿宋_GB2312" w:cs="仿宋"/>
                <w:bCs/>
                <w:sz w:val="24"/>
              </w:rPr>
            </w:pPr>
            <w:r>
              <w:rPr>
                <w:rFonts w:hint="eastAsia" w:ascii="仿宋_GB2312" w:hAnsi="仿宋" w:eastAsia="仿宋_GB2312" w:cs="仿宋"/>
                <w:bCs/>
                <w:sz w:val="24"/>
              </w:rPr>
              <w:t>监理单位签章：           负责人签名及电话                  年  月  日</w:t>
            </w:r>
          </w:p>
        </w:tc>
      </w:tr>
      <w:tr w14:paraId="208EE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23C32050">
            <w:pPr>
              <w:snapToGrid w:val="0"/>
              <w:rPr>
                <w:rFonts w:hint="eastAsia" w:ascii="仿宋_GB2312" w:hAnsi="仿宋" w:eastAsia="仿宋_GB2312" w:cs="仿宋"/>
                <w:bCs/>
                <w:sz w:val="24"/>
              </w:rPr>
            </w:pPr>
          </w:p>
        </w:tc>
        <w:tc>
          <w:tcPr>
            <w:tcW w:w="4696" w:type="pct"/>
            <w:gridSpan w:val="2"/>
            <w:vAlign w:val="center"/>
          </w:tcPr>
          <w:p w14:paraId="0FBB53EA">
            <w:pPr>
              <w:ind w:left="6360" w:hanging="6360" w:hangingChars="2650"/>
              <w:jc w:val="left"/>
              <w:rPr>
                <w:rFonts w:hint="eastAsia" w:ascii="仿宋_GB2312" w:hAnsi="仿宋" w:eastAsia="仿宋_GB2312" w:cs="仿宋"/>
                <w:bCs/>
                <w:sz w:val="24"/>
              </w:rPr>
            </w:pPr>
            <w:r>
              <w:rPr>
                <w:rFonts w:hint="eastAsia" w:ascii="仿宋_GB2312" w:hAnsi="仿宋" w:eastAsia="仿宋_GB2312" w:cs="仿宋"/>
                <w:bCs/>
                <w:sz w:val="24"/>
              </w:rPr>
              <w:t>检测单位签章：           负责人签名及电话                  年  月  日</w:t>
            </w:r>
          </w:p>
        </w:tc>
      </w:tr>
      <w:tr w14:paraId="462E7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25B3484F">
            <w:pPr>
              <w:snapToGrid w:val="0"/>
              <w:rPr>
                <w:rFonts w:hint="eastAsia" w:ascii="仿宋_GB2312" w:hAnsi="仿宋" w:eastAsia="仿宋_GB2312" w:cs="仿宋"/>
                <w:bCs/>
                <w:sz w:val="24"/>
              </w:rPr>
            </w:pPr>
          </w:p>
        </w:tc>
        <w:tc>
          <w:tcPr>
            <w:tcW w:w="4696" w:type="pct"/>
            <w:gridSpan w:val="2"/>
            <w:vAlign w:val="center"/>
          </w:tcPr>
          <w:p w14:paraId="69E9B76B">
            <w:pPr>
              <w:adjustRightInd w:val="0"/>
              <w:snapToGrid w:val="0"/>
              <w:rPr>
                <w:rFonts w:hint="eastAsia" w:ascii="仿宋_GB2312" w:hAnsi="仿宋" w:eastAsia="仿宋_GB2312" w:cs="仿宋"/>
                <w:bCs/>
                <w:sz w:val="24"/>
              </w:rPr>
            </w:pPr>
            <w:r>
              <w:rPr>
                <w:rFonts w:hint="eastAsia" w:ascii="仿宋_GB2312" w:hAnsi="仿宋" w:eastAsia="仿宋_GB2312" w:cs="仿宋"/>
                <w:bCs/>
                <w:sz w:val="24"/>
              </w:rPr>
              <w:t>其他单位签章：           负责人签名及电话                  年  月  日</w:t>
            </w:r>
          </w:p>
        </w:tc>
      </w:tr>
    </w:tbl>
    <w:p w14:paraId="7EB09F8C">
      <w:pPr>
        <w:rPr>
          <w:rFonts w:hint="eastAsia" w:ascii="仿宋" w:hAnsi="仿宋" w:eastAsia="仿宋" w:cs="仿宋"/>
          <w:bCs/>
          <w:kern w:val="0"/>
          <w:sz w:val="32"/>
          <w:szCs w:val="32"/>
        </w:rPr>
      </w:pPr>
    </w:p>
    <w:sectPr>
      <w:headerReference r:id="rId7" w:type="first"/>
      <w:footerReference r:id="rId10" w:type="first"/>
      <w:headerReference r:id="rId5" w:type="default"/>
      <w:footerReference r:id="rId8" w:type="default"/>
      <w:headerReference r:id="rId6" w:type="even"/>
      <w:footerReference r:id="rId9" w:type="even"/>
      <w:pgSz w:w="11906" w:h="16838"/>
      <w:pgMar w:top="1588" w:right="1474" w:bottom="1588" w:left="1588" w:header="0" w:footer="567"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FDE60FFE-01A2-4F9E-829D-CCAFF90C40B2}"/>
  </w:font>
  <w:font w:name="Arial">
    <w:panose1 w:val="020B0604020202020204"/>
    <w:charset w:val="01"/>
    <w:family w:val="swiss"/>
    <w:pitch w:val="default"/>
    <w:sig w:usb0="E0002AFF" w:usb1="C0007843" w:usb2="00000009" w:usb3="00000000" w:csb0="400001FF" w:csb1="FFFF0000"/>
    <w:embedRegular r:id="rId2" w:fontKey="{38E88A9B-DCEA-4379-864E-976485C53A43}"/>
  </w:font>
  <w:font w:name="黑体">
    <w:panose1 w:val="02010609060101010101"/>
    <w:charset w:val="86"/>
    <w:family w:val="auto"/>
    <w:pitch w:val="default"/>
    <w:sig w:usb0="800002BF" w:usb1="38CF7CFA" w:usb2="00000016" w:usb3="00000000" w:csb0="00040001" w:csb1="00000000"/>
    <w:embedRegular r:id="rId3" w:fontKey="{EED15F20-09EA-4769-81A5-3B7A3DABE878}"/>
  </w:font>
  <w:font w:name="Courier New">
    <w:panose1 w:val="02070309020205020404"/>
    <w:charset w:val="01"/>
    <w:family w:val="modern"/>
    <w:pitch w:val="default"/>
    <w:sig w:usb0="E0002AFF" w:usb1="C0007843" w:usb2="00000009" w:usb3="00000000" w:csb0="400001FF" w:csb1="FFFF0000"/>
    <w:embedRegular r:id="rId4" w:fontKey="{EC32FB27-DDE2-49C0-9669-87F2ABB84B22}"/>
  </w:font>
  <w:font w:name="Symbol">
    <w:panose1 w:val="05050102010706020507"/>
    <w:charset w:val="02"/>
    <w:family w:val="roman"/>
    <w:pitch w:val="default"/>
    <w:sig w:usb0="00000000" w:usb1="00000000" w:usb2="00000000" w:usb3="00000000" w:csb0="80000000" w:csb1="00000000"/>
    <w:embedRegular r:id="rId5" w:fontKey="{664BE046-BD95-4740-9785-72917BAEFC80}"/>
  </w:font>
  <w:font w:name="Calibri">
    <w:panose1 w:val="020F0502020204030204"/>
    <w:charset w:val="00"/>
    <w:family w:val="swiss"/>
    <w:pitch w:val="default"/>
    <w:sig w:usb0="E00002FF" w:usb1="4000ACFF" w:usb2="00000001" w:usb3="00000000" w:csb0="2000019F" w:csb1="00000000"/>
    <w:embedRegular r:id="rId6" w:fontKey="{D52B1364-6CBA-4ECB-832E-FED0CF8ADF4D}"/>
  </w:font>
  <w:font w:name="方正小标宋简体">
    <w:panose1 w:val="02000000000000000000"/>
    <w:charset w:val="86"/>
    <w:family w:val="auto"/>
    <w:pitch w:val="default"/>
    <w:sig w:usb0="00000001" w:usb1="08000000" w:usb2="00000000" w:usb3="00000000" w:csb0="00040000" w:csb1="00000000"/>
    <w:embedRegular r:id="rId7" w:fontKey="{835BFB71-2DE0-4F14-A115-1C9604FAF6F1}"/>
  </w:font>
  <w:font w:name="仿宋">
    <w:panose1 w:val="02010609060101010101"/>
    <w:charset w:val="86"/>
    <w:family w:val="modern"/>
    <w:pitch w:val="default"/>
    <w:sig w:usb0="800002BF" w:usb1="38CF7CFA" w:usb2="00000016" w:usb3="00000000" w:csb0="00040001" w:csb1="00000000"/>
    <w:embedRegular r:id="rId8" w:fontKey="{215A2C92-E1E6-4220-B679-6F2D332364CA}"/>
  </w:font>
  <w:font w:name="微软雅黑">
    <w:panose1 w:val="020B0503020204020204"/>
    <w:charset w:val="86"/>
    <w:family w:val="swiss"/>
    <w:pitch w:val="default"/>
    <w:sig w:usb0="80000287" w:usb1="280F3C52" w:usb2="00000016" w:usb3="00000000" w:csb0="0004001F" w:csb1="00000000"/>
    <w:embedRegular r:id="rId9" w:fontKey="{E89C647A-A4D8-45FE-8023-28B05D343474}"/>
  </w:font>
  <w:font w:name="华文仿宋">
    <w:panose1 w:val="02010600040101010101"/>
    <w:charset w:val="86"/>
    <w:family w:val="auto"/>
    <w:pitch w:val="default"/>
    <w:sig w:usb0="00000287" w:usb1="080F0000" w:usb2="00000000" w:usb3="00000000" w:csb0="0004009F" w:csb1="DFD70000"/>
    <w:embedRegular r:id="rId10" w:fontKey="{C0860D28-CC9A-4E85-9BF5-CAD26D3F5051}"/>
  </w:font>
  <w:font w:name="楷体">
    <w:panose1 w:val="02010609060101010101"/>
    <w:charset w:val="86"/>
    <w:family w:val="modern"/>
    <w:pitch w:val="default"/>
    <w:sig w:usb0="800002BF" w:usb1="38CF7CFA" w:usb2="00000016" w:usb3="00000000" w:csb0="00040001" w:csb1="00000000"/>
    <w:embedRegular r:id="rId11" w:fontKey="{F9A8A9B2-BD44-485A-B4CC-AAF9DE3D13A2}"/>
  </w:font>
  <w:font w:name="仿宋_GB2312">
    <w:panose1 w:val="02010609030101010101"/>
    <w:charset w:val="86"/>
    <w:family w:val="modern"/>
    <w:pitch w:val="default"/>
    <w:sig w:usb0="00000001" w:usb1="080E0000" w:usb2="00000000" w:usb3="00000000" w:csb0="00040000" w:csb1="00000000"/>
    <w:embedRegular r:id="rId12" w:fontKey="{EF283750-A5B3-4EEC-929E-861EF3733705}"/>
  </w:font>
  <w:font w:name="等线">
    <w:altName w:val="微软雅黑"/>
    <w:panose1 w:val="02010600030101010101"/>
    <w:charset w:val="86"/>
    <w:family w:val="auto"/>
    <w:pitch w:val="default"/>
    <w:sig w:usb0="00000000" w:usb1="00000000" w:usb2="00000016" w:usb3="00000000" w:csb0="0004000F" w:csb1="00000000"/>
  </w:font>
  <w:font w:name="Segoe UI">
    <w:panose1 w:val="020B0502040204020203"/>
    <w:charset w:val="00"/>
    <w:family w:val="swiss"/>
    <w:pitch w:val="default"/>
    <w:sig w:usb0="E10022FF" w:usb1="C000E47F" w:usb2="00000029" w:usb3="00000000" w:csb0="200001DF" w:csb1="20000000"/>
    <w:embedRegular r:id="rId13" w:fontKey="{66B42725-125F-40AE-AF1E-C01F23AB0F63}"/>
  </w:font>
  <w:font w:name="sans-serif">
    <w:altName w:val="Segoe Print"/>
    <w:panose1 w:val="00000000000000000000"/>
    <w:charset w:val="00"/>
    <w:family w:val="auto"/>
    <w:pitch w:val="default"/>
    <w:sig w:usb0="00000000" w:usb1="00000000" w:usb2="00000000" w:usb3="00000000" w:csb0="00000000" w:csb1="00000000"/>
    <w:embedRegular r:id="rId14" w:fontKey="{AC7DA9AB-0278-4E24-B7BB-061E270529F9}"/>
  </w:font>
  <w:font w:name="Segoe Print">
    <w:panose1 w:val="02000600000000000000"/>
    <w:charset w:val="00"/>
    <w:family w:val="auto"/>
    <w:pitch w:val="default"/>
    <w:sig w:usb0="0000028F" w:usb1="00000000" w:usb2="00000000" w:usb3="00000000" w:csb0="2000009F" w:csb1="47010000"/>
    <w:embedRegular r:id="rId15" w:fontKey="{29124571-BA86-4552-BA9D-5312AE498DD7}"/>
  </w:font>
  <w:font w:name="楷体_GB2312">
    <w:panose1 w:val="02010609030101010101"/>
    <w:charset w:val="86"/>
    <w:family w:val="modern"/>
    <w:pitch w:val="default"/>
    <w:sig w:usb0="00000001" w:usb1="080E0000" w:usb2="00000000" w:usb3="00000000" w:csb0="00040000" w:csb1="00000000"/>
    <w:embedRegular r:id="rId16" w:fontKey="{19CA7481-3278-4A87-A94D-18ED1314DD02}"/>
  </w:font>
  <w:font w:name="Segoe UI Symbol">
    <w:panose1 w:val="020B0502040204020203"/>
    <w:charset w:val="00"/>
    <w:family w:val="swiss"/>
    <w:pitch w:val="default"/>
    <w:sig w:usb0="8000006F" w:usb1="1200FBEF" w:usb2="0064C000" w:usb3="00000002" w:csb0="00000001" w:csb1="40000000"/>
    <w:embedRegular r:id="rId17" w:fontKey="{637D58D4-3975-4A74-BD65-B84370836CF1}"/>
  </w:font>
  <w:font w:name="Cambria Math">
    <w:panose1 w:val="02040503050406030204"/>
    <w:charset w:val="00"/>
    <w:family w:val="roman"/>
    <w:pitch w:val="default"/>
    <w:sig w:usb0="E00002FF" w:usb1="420024FF" w:usb2="00000000" w:usb3="00000000" w:csb0="2000019F" w:csb1="00000000"/>
    <w:embedRegular r:id="rId18" w:fontKey="{1585C142-CBA3-456C-9253-3E3E470CF4C0}"/>
  </w:font>
  <w:font w:name="方正楷体_GB2312">
    <w:altName w:val="微软雅黑"/>
    <w:panose1 w:val="00000000000000000000"/>
    <w:charset w:val="86"/>
    <w:family w:val="auto"/>
    <w:pitch w:val="default"/>
    <w:sig w:usb0="00000000" w:usb1="00000000" w:usb2="00000012" w:usb3="00000000" w:csb0="00040001" w:csb1="00000000"/>
    <w:embedRegular r:id="rId19" w:fontKey="{4FBB57D6-5879-45AA-BD68-EBC627939F5C}"/>
  </w:font>
  <w:font w:name="等线">
    <w:altName w:val="微软雅黑"/>
    <w:panose1 w:val="00000000000000000000"/>
    <w:charset w:val="00"/>
    <w:family w:val="auto"/>
    <w:pitch w:val="default"/>
    <w:sig w:usb0="00000000" w:usb1="00000000" w:usb2="00000000" w:usb3="00000000" w:csb0="00000000" w:csb1="00000000"/>
    <w:embedRegular r:id="rId20" w:fontKey="{6C7A242F-40B8-49FB-8331-ACA7724B0AA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85455969"/>
      <w:docPartObj>
        <w:docPartGallery w:val="autotext"/>
      </w:docPartObj>
    </w:sdtPr>
    <w:sdtContent>
      <w:p w14:paraId="0501DDB8">
        <w:pPr>
          <w:pStyle w:val="11"/>
          <w:jc w:val="center"/>
          <w:rPr>
            <w:rFonts w:hint="eastAsia"/>
          </w:rPr>
        </w:pPr>
        <w:r>
          <w:fldChar w:fldCharType="begin"/>
        </w:r>
        <w:r>
          <w:instrText xml:space="preserve">PAGE   \* MERGEFORMAT</w:instrText>
        </w:r>
        <w:r>
          <w:fldChar w:fldCharType="separate"/>
        </w:r>
        <w:r>
          <w:rPr>
            <w:lang w:val="zh-CN"/>
          </w:rPr>
          <w:t>2</w:t>
        </w:r>
        <w:r>
          <w:fldChar w:fldCharType="end"/>
        </w:r>
      </w:p>
    </w:sdtContent>
  </w:sdt>
  <w:p w14:paraId="280C9020">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A287F7">
    <w:pPr>
      <w:pStyle w:val="1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39EBDC">
    <w:pPr>
      <w:pStyle w:val="11"/>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691F42">
    <w:pPr>
      <w:pStyle w:val="1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72A2D6">
    <w:pPr>
      <w:pStyle w:val="9"/>
      <w:pBdr>
        <w:bottom w:val="none" w:color="auto" w:sz="0" w:space="0"/>
      </w:pBdr>
      <w:rPr>
        <w:lang w:eastAsia="zh"/>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83D633">
    <w:pPr>
      <w:pStyle w:val="9"/>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509289">
    <w:pPr>
      <w:pStyle w:val="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80F252">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DF4C82"/>
    <w:multiLevelType w:val="singleLevel"/>
    <w:tmpl w:val="C9DF4C82"/>
    <w:lvl w:ilvl="0" w:tentative="0">
      <w:start w:val="1"/>
      <w:numFmt w:val="chineseCounting"/>
      <w:suff w:val="nothing"/>
      <w:lvlText w:val="（%1）"/>
      <w:lvlJc w:val="left"/>
      <w:rPr>
        <w:rFonts w:hint="eastAsia"/>
      </w:rPr>
    </w:lvl>
  </w:abstractNum>
  <w:abstractNum w:abstractNumId="1">
    <w:nsid w:val="F7EF7099"/>
    <w:multiLevelType w:val="singleLevel"/>
    <w:tmpl w:val="F7EF7099"/>
    <w:lvl w:ilvl="0" w:tentative="0">
      <w:start w:val="7"/>
      <w:numFmt w:val="chineseCounting"/>
      <w:suff w:val="nothing"/>
      <w:lvlText w:val="（%1）"/>
      <w:lvlJc w:val="left"/>
      <w:rPr>
        <w:rFonts w:hint="eastAsia"/>
      </w:rPr>
    </w:lvl>
  </w:abstractNum>
  <w:abstractNum w:abstractNumId="2">
    <w:nsid w:val="018556CE"/>
    <w:multiLevelType w:val="singleLevel"/>
    <w:tmpl w:val="018556CE"/>
    <w:lvl w:ilvl="0" w:tentative="0">
      <w:start w:val="1"/>
      <w:numFmt w:val="chineseCounting"/>
      <w:suff w:val="nothing"/>
      <w:lvlText w:val="%1、"/>
      <w:lvlJc w:val="left"/>
      <w:rPr>
        <w:rFonts w:hint="eastAsia"/>
      </w:rPr>
    </w:lvl>
  </w:abstractNum>
  <w:abstractNum w:abstractNumId="3">
    <w:nsid w:val="1F193F08"/>
    <w:multiLevelType w:val="multilevel"/>
    <w:tmpl w:val="1F193F08"/>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4">
    <w:nsid w:val="234C5497"/>
    <w:multiLevelType w:val="multilevel"/>
    <w:tmpl w:val="234C5497"/>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5">
    <w:nsid w:val="30B558EB"/>
    <w:multiLevelType w:val="multilevel"/>
    <w:tmpl w:val="30B558EB"/>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6">
    <w:nsid w:val="44175A85"/>
    <w:multiLevelType w:val="multilevel"/>
    <w:tmpl w:val="44175A85"/>
    <w:lvl w:ilvl="0" w:tentative="0">
      <w:start w:val="3"/>
      <w:numFmt w:val="japaneseCounting"/>
      <w:lvlText w:val="%1、"/>
      <w:lvlJc w:val="left"/>
      <w:pPr>
        <w:ind w:left="1360" w:hanging="720"/>
      </w:pPr>
      <w:rPr>
        <w:rFonts w:hint="default"/>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7">
    <w:nsid w:val="49603419"/>
    <w:multiLevelType w:val="multilevel"/>
    <w:tmpl w:val="49603419"/>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8">
    <w:nsid w:val="4C51E0C1"/>
    <w:multiLevelType w:val="singleLevel"/>
    <w:tmpl w:val="4C51E0C1"/>
    <w:lvl w:ilvl="0" w:tentative="0">
      <w:start w:val="1"/>
      <w:numFmt w:val="chineseCounting"/>
      <w:suff w:val="nothing"/>
      <w:lvlText w:val="%1、"/>
      <w:lvlJc w:val="left"/>
      <w:rPr>
        <w:rFonts w:hint="eastAsia"/>
      </w:rPr>
    </w:lvl>
  </w:abstractNum>
  <w:abstractNum w:abstractNumId="9">
    <w:nsid w:val="65E677CB"/>
    <w:multiLevelType w:val="multilevel"/>
    <w:tmpl w:val="65E677CB"/>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0">
    <w:nsid w:val="74CA3D45"/>
    <w:multiLevelType w:val="multilevel"/>
    <w:tmpl w:val="74CA3D45"/>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11">
    <w:nsid w:val="7DDC3D26"/>
    <w:multiLevelType w:val="multilevel"/>
    <w:tmpl w:val="7DDC3D26"/>
    <w:lvl w:ilvl="0" w:tentative="0">
      <w:start w:val="1"/>
      <w:numFmt w:val="decimal"/>
      <w:suff w:val="nothing"/>
      <w:lvlText w:val="%1."/>
      <w:lvlJc w:val="left"/>
      <w:pPr>
        <w:ind w:left="0" w:firstLine="0"/>
      </w:pPr>
      <w:rPr>
        <w:rFonts w:hint="eastAsia"/>
        <w:b w:val="0"/>
        <w:bCs w:val="0"/>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2">
    <w:nsid w:val="7F8C0208"/>
    <w:multiLevelType w:val="multilevel"/>
    <w:tmpl w:val="7F8C0208"/>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num w:numId="1">
    <w:abstractNumId w:val="1"/>
  </w:num>
  <w:num w:numId="2">
    <w:abstractNumId w:val="2"/>
  </w:num>
  <w:num w:numId="3">
    <w:abstractNumId w:val="8"/>
  </w:num>
  <w:num w:numId="4">
    <w:abstractNumId w:val="3"/>
  </w:num>
  <w:num w:numId="5">
    <w:abstractNumId w:val="7"/>
  </w:num>
  <w:num w:numId="6">
    <w:abstractNumId w:val="10"/>
  </w:num>
  <w:num w:numId="7">
    <w:abstractNumId w:val="12"/>
  </w:num>
  <w:num w:numId="8">
    <w:abstractNumId w:val="4"/>
  </w:num>
  <w:num w:numId="9">
    <w:abstractNumId w:val="11"/>
  </w:num>
  <w:num w:numId="10">
    <w:abstractNumId w:val="6"/>
  </w:num>
  <w:num w:numId="11">
    <w:abstractNumId w:val="9"/>
  </w:num>
  <w:num w:numId="12">
    <w:abstractNumId w:val="5"/>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noPunctuationKerning w:val="1"/>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MwOWNhMmVhZWRhZjJkZTZhYjQ4ZDFhMmJjYWRiNGUifQ=="/>
  </w:docVars>
  <w:rsids>
    <w:rsidRoot w:val="3BEF3630"/>
    <w:rsid w:val="00003C75"/>
    <w:rsid w:val="000103A5"/>
    <w:rsid w:val="00015C9C"/>
    <w:rsid w:val="00017386"/>
    <w:rsid w:val="00024F29"/>
    <w:rsid w:val="000276F3"/>
    <w:rsid w:val="000323AC"/>
    <w:rsid w:val="00032FBB"/>
    <w:rsid w:val="00042336"/>
    <w:rsid w:val="00042FB6"/>
    <w:rsid w:val="000446E9"/>
    <w:rsid w:val="00060D52"/>
    <w:rsid w:val="00063CD0"/>
    <w:rsid w:val="000741C4"/>
    <w:rsid w:val="00080144"/>
    <w:rsid w:val="0008089F"/>
    <w:rsid w:val="00082C5A"/>
    <w:rsid w:val="00082FE2"/>
    <w:rsid w:val="00091F37"/>
    <w:rsid w:val="00092555"/>
    <w:rsid w:val="00095E08"/>
    <w:rsid w:val="000A167E"/>
    <w:rsid w:val="000A7CD0"/>
    <w:rsid w:val="000B6F77"/>
    <w:rsid w:val="000C51B7"/>
    <w:rsid w:val="000E1F6A"/>
    <w:rsid w:val="000F0093"/>
    <w:rsid w:val="000F4CB9"/>
    <w:rsid w:val="00102403"/>
    <w:rsid w:val="00103147"/>
    <w:rsid w:val="00103AEE"/>
    <w:rsid w:val="00104728"/>
    <w:rsid w:val="001063AF"/>
    <w:rsid w:val="00107137"/>
    <w:rsid w:val="001104AC"/>
    <w:rsid w:val="001119FA"/>
    <w:rsid w:val="00114873"/>
    <w:rsid w:val="0012345B"/>
    <w:rsid w:val="00123AFD"/>
    <w:rsid w:val="00130460"/>
    <w:rsid w:val="0013116E"/>
    <w:rsid w:val="00134ECB"/>
    <w:rsid w:val="00141B8C"/>
    <w:rsid w:val="00141C57"/>
    <w:rsid w:val="001436BA"/>
    <w:rsid w:val="00150666"/>
    <w:rsid w:val="00152BA3"/>
    <w:rsid w:val="00153E83"/>
    <w:rsid w:val="00162835"/>
    <w:rsid w:val="00172A27"/>
    <w:rsid w:val="00174B0C"/>
    <w:rsid w:val="0018379A"/>
    <w:rsid w:val="00184F2A"/>
    <w:rsid w:val="00191B27"/>
    <w:rsid w:val="001A572F"/>
    <w:rsid w:val="001A5CA2"/>
    <w:rsid w:val="001A6534"/>
    <w:rsid w:val="001B3488"/>
    <w:rsid w:val="001C7D85"/>
    <w:rsid w:val="001E51AA"/>
    <w:rsid w:val="001F0AF1"/>
    <w:rsid w:val="001F1797"/>
    <w:rsid w:val="001F579C"/>
    <w:rsid w:val="001F5897"/>
    <w:rsid w:val="0020139B"/>
    <w:rsid w:val="002076A2"/>
    <w:rsid w:val="00213BAE"/>
    <w:rsid w:val="002205B9"/>
    <w:rsid w:val="00221F6C"/>
    <w:rsid w:val="00231809"/>
    <w:rsid w:val="00231AE9"/>
    <w:rsid w:val="00233430"/>
    <w:rsid w:val="002426C4"/>
    <w:rsid w:val="00246F87"/>
    <w:rsid w:val="0024741A"/>
    <w:rsid w:val="00247E5A"/>
    <w:rsid w:val="0025371E"/>
    <w:rsid w:val="00257E44"/>
    <w:rsid w:val="00266681"/>
    <w:rsid w:val="00271E11"/>
    <w:rsid w:val="0027664C"/>
    <w:rsid w:val="0028091D"/>
    <w:rsid w:val="00281609"/>
    <w:rsid w:val="00281A60"/>
    <w:rsid w:val="0028515A"/>
    <w:rsid w:val="00290431"/>
    <w:rsid w:val="00291D42"/>
    <w:rsid w:val="00297DD7"/>
    <w:rsid w:val="002A17E9"/>
    <w:rsid w:val="002A2BBB"/>
    <w:rsid w:val="002A4463"/>
    <w:rsid w:val="002B4495"/>
    <w:rsid w:val="002B6D5A"/>
    <w:rsid w:val="002C02E9"/>
    <w:rsid w:val="002C3F71"/>
    <w:rsid w:val="002C55C7"/>
    <w:rsid w:val="002E5C32"/>
    <w:rsid w:val="002F06D1"/>
    <w:rsid w:val="002F2282"/>
    <w:rsid w:val="002F6676"/>
    <w:rsid w:val="003047BF"/>
    <w:rsid w:val="00307515"/>
    <w:rsid w:val="00310B82"/>
    <w:rsid w:val="00314FA9"/>
    <w:rsid w:val="00317CCF"/>
    <w:rsid w:val="003209B8"/>
    <w:rsid w:val="00327879"/>
    <w:rsid w:val="00344E4C"/>
    <w:rsid w:val="00346445"/>
    <w:rsid w:val="0034680A"/>
    <w:rsid w:val="00346B83"/>
    <w:rsid w:val="00353296"/>
    <w:rsid w:val="00355CCF"/>
    <w:rsid w:val="0036362F"/>
    <w:rsid w:val="00364152"/>
    <w:rsid w:val="00365838"/>
    <w:rsid w:val="003671D2"/>
    <w:rsid w:val="0037249A"/>
    <w:rsid w:val="003809C5"/>
    <w:rsid w:val="00380E78"/>
    <w:rsid w:val="0038390A"/>
    <w:rsid w:val="00385D42"/>
    <w:rsid w:val="00390926"/>
    <w:rsid w:val="0039148D"/>
    <w:rsid w:val="00393ED6"/>
    <w:rsid w:val="00396FE8"/>
    <w:rsid w:val="003A35B0"/>
    <w:rsid w:val="003A63C0"/>
    <w:rsid w:val="003B265F"/>
    <w:rsid w:val="003B323D"/>
    <w:rsid w:val="003B3A48"/>
    <w:rsid w:val="003B6C4F"/>
    <w:rsid w:val="003C0E58"/>
    <w:rsid w:val="003D1F3B"/>
    <w:rsid w:val="003D2093"/>
    <w:rsid w:val="003E0E8E"/>
    <w:rsid w:val="003F4850"/>
    <w:rsid w:val="003F578F"/>
    <w:rsid w:val="00404AD6"/>
    <w:rsid w:val="004070DD"/>
    <w:rsid w:val="0040787F"/>
    <w:rsid w:val="004132E9"/>
    <w:rsid w:val="00415C6F"/>
    <w:rsid w:val="00435592"/>
    <w:rsid w:val="00444088"/>
    <w:rsid w:val="00454DBD"/>
    <w:rsid w:val="00455FF8"/>
    <w:rsid w:val="0045658D"/>
    <w:rsid w:val="004655F2"/>
    <w:rsid w:val="00465F7F"/>
    <w:rsid w:val="00475C8B"/>
    <w:rsid w:val="004778BD"/>
    <w:rsid w:val="0048136D"/>
    <w:rsid w:val="00491ED1"/>
    <w:rsid w:val="00491EF0"/>
    <w:rsid w:val="004A0A4B"/>
    <w:rsid w:val="004A1143"/>
    <w:rsid w:val="004A1C46"/>
    <w:rsid w:val="004A298E"/>
    <w:rsid w:val="004A696F"/>
    <w:rsid w:val="004B30EE"/>
    <w:rsid w:val="004B7C5F"/>
    <w:rsid w:val="004C565B"/>
    <w:rsid w:val="004D0D89"/>
    <w:rsid w:val="004E06E2"/>
    <w:rsid w:val="004E1AA4"/>
    <w:rsid w:val="004F2A1C"/>
    <w:rsid w:val="004F43BD"/>
    <w:rsid w:val="00500C17"/>
    <w:rsid w:val="00501BE8"/>
    <w:rsid w:val="00501E46"/>
    <w:rsid w:val="00503AE6"/>
    <w:rsid w:val="00507301"/>
    <w:rsid w:val="005103D7"/>
    <w:rsid w:val="00517C99"/>
    <w:rsid w:val="00523787"/>
    <w:rsid w:val="005376A3"/>
    <w:rsid w:val="005402DF"/>
    <w:rsid w:val="005431FB"/>
    <w:rsid w:val="00546147"/>
    <w:rsid w:val="00551E76"/>
    <w:rsid w:val="00553608"/>
    <w:rsid w:val="00557097"/>
    <w:rsid w:val="00562691"/>
    <w:rsid w:val="005745B7"/>
    <w:rsid w:val="00576921"/>
    <w:rsid w:val="005836D7"/>
    <w:rsid w:val="0059156D"/>
    <w:rsid w:val="005A5A9B"/>
    <w:rsid w:val="005B4078"/>
    <w:rsid w:val="005C1283"/>
    <w:rsid w:val="005C2420"/>
    <w:rsid w:val="005C24DA"/>
    <w:rsid w:val="005C4FB4"/>
    <w:rsid w:val="005E1D8D"/>
    <w:rsid w:val="005F4520"/>
    <w:rsid w:val="005F7B68"/>
    <w:rsid w:val="006079A1"/>
    <w:rsid w:val="0061064B"/>
    <w:rsid w:val="006128BC"/>
    <w:rsid w:val="00613B14"/>
    <w:rsid w:val="006149AA"/>
    <w:rsid w:val="00617D6A"/>
    <w:rsid w:val="00617F1D"/>
    <w:rsid w:val="00623EDC"/>
    <w:rsid w:val="00632C26"/>
    <w:rsid w:val="00636C51"/>
    <w:rsid w:val="0064286C"/>
    <w:rsid w:val="00643FC2"/>
    <w:rsid w:val="00653433"/>
    <w:rsid w:val="0065637C"/>
    <w:rsid w:val="006600BC"/>
    <w:rsid w:val="0066705F"/>
    <w:rsid w:val="00670348"/>
    <w:rsid w:val="006752EC"/>
    <w:rsid w:val="006765CC"/>
    <w:rsid w:val="00677404"/>
    <w:rsid w:val="00687C20"/>
    <w:rsid w:val="00693E77"/>
    <w:rsid w:val="00694878"/>
    <w:rsid w:val="006A7C63"/>
    <w:rsid w:val="006B5338"/>
    <w:rsid w:val="006B7498"/>
    <w:rsid w:val="006C4FBE"/>
    <w:rsid w:val="006E004B"/>
    <w:rsid w:val="006E4F82"/>
    <w:rsid w:val="006E7EB1"/>
    <w:rsid w:val="006F222F"/>
    <w:rsid w:val="006F2DDA"/>
    <w:rsid w:val="006F5DDC"/>
    <w:rsid w:val="00700005"/>
    <w:rsid w:val="00706F71"/>
    <w:rsid w:val="00710342"/>
    <w:rsid w:val="007129EF"/>
    <w:rsid w:val="00713CDA"/>
    <w:rsid w:val="0071428B"/>
    <w:rsid w:val="00721A86"/>
    <w:rsid w:val="007337AE"/>
    <w:rsid w:val="00734A8F"/>
    <w:rsid w:val="007355C1"/>
    <w:rsid w:val="00750B29"/>
    <w:rsid w:val="00763B02"/>
    <w:rsid w:val="00765164"/>
    <w:rsid w:val="007713A1"/>
    <w:rsid w:val="00771502"/>
    <w:rsid w:val="00772EB7"/>
    <w:rsid w:val="00780E21"/>
    <w:rsid w:val="007920CE"/>
    <w:rsid w:val="007949B3"/>
    <w:rsid w:val="007971A6"/>
    <w:rsid w:val="007A06F4"/>
    <w:rsid w:val="007A69E9"/>
    <w:rsid w:val="007B5B44"/>
    <w:rsid w:val="007B73E6"/>
    <w:rsid w:val="007C6E14"/>
    <w:rsid w:val="007D0BA3"/>
    <w:rsid w:val="007D4C5E"/>
    <w:rsid w:val="007E646A"/>
    <w:rsid w:val="007E78C0"/>
    <w:rsid w:val="007E7A2C"/>
    <w:rsid w:val="008073EE"/>
    <w:rsid w:val="008221C7"/>
    <w:rsid w:val="00824828"/>
    <w:rsid w:val="00825771"/>
    <w:rsid w:val="00833675"/>
    <w:rsid w:val="00833DBA"/>
    <w:rsid w:val="00840FB4"/>
    <w:rsid w:val="008469B8"/>
    <w:rsid w:val="008548D1"/>
    <w:rsid w:val="00855E1C"/>
    <w:rsid w:val="008637C9"/>
    <w:rsid w:val="00863F33"/>
    <w:rsid w:val="008710D7"/>
    <w:rsid w:val="008713D8"/>
    <w:rsid w:val="0087309D"/>
    <w:rsid w:val="00877462"/>
    <w:rsid w:val="008818C8"/>
    <w:rsid w:val="00883C1A"/>
    <w:rsid w:val="00885BF6"/>
    <w:rsid w:val="00885E04"/>
    <w:rsid w:val="00887876"/>
    <w:rsid w:val="008960E4"/>
    <w:rsid w:val="00896E6D"/>
    <w:rsid w:val="008A0701"/>
    <w:rsid w:val="008A362D"/>
    <w:rsid w:val="008B292E"/>
    <w:rsid w:val="008C09B5"/>
    <w:rsid w:val="008C11B5"/>
    <w:rsid w:val="008C1B79"/>
    <w:rsid w:val="008C37C4"/>
    <w:rsid w:val="008C73BA"/>
    <w:rsid w:val="008D60E9"/>
    <w:rsid w:val="008E122F"/>
    <w:rsid w:val="008E286E"/>
    <w:rsid w:val="008F44CC"/>
    <w:rsid w:val="008F52EC"/>
    <w:rsid w:val="00902876"/>
    <w:rsid w:val="009058FC"/>
    <w:rsid w:val="009118CF"/>
    <w:rsid w:val="00935418"/>
    <w:rsid w:val="00936C20"/>
    <w:rsid w:val="009371F9"/>
    <w:rsid w:val="00937931"/>
    <w:rsid w:val="009573E1"/>
    <w:rsid w:val="009673FA"/>
    <w:rsid w:val="0097102F"/>
    <w:rsid w:val="0098036B"/>
    <w:rsid w:val="00984030"/>
    <w:rsid w:val="0098551D"/>
    <w:rsid w:val="00985E2D"/>
    <w:rsid w:val="009A491B"/>
    <w:rsid w:val="009C04DD"/>
    <w:rsid w:val="009C1104"/>
    <w:rsid w:val="009C3E04"/>
    <w:rsid w:val="009C427D"/>
    <w:rsid w:val="009C5C02"/>
    <w:rsid w:val="009D0FAF"/>
    <w:rsid w:val="009D34D1"/>
    <w:rsid w:val="009D6FE3"/>
    <w:rsid w:val="009E6554"/>
    <w:rsid w:val="009E76A6"/>
    <w:rsid w:val="009F1788"/>
    <w:rsid w:val="009F2B23"/>
    <w:rsid w:val="009F4126"/>
    <w:rsid w:val="00A00FD1"/>
    <w:rsid w:val="00A220DE"/>
    <w:rsid w:val="00A22A7F"/>
    <w:rsid w:val="00A414EE"/>
    <w:rsid w:val="00A47EC6"/>
    <w:rsid w:val="00A55020"/>
    <w:rsid w:val="00A61CE0"/>
    <w:rsid w:val="00A70129"/>
    <w:rsid w:val="00A715D5"/>
    <w:rsid w:val="00A72382"/>
    <w:rsid w:val="00A7355F"/>
    <w:rsid w:val="00A775B0"/>
    <w:rsid w:val="00A82EF4"/>
    <w:rsid w:val="00A91CE9"/>
    <w:rsid w:val="00AA4781"/>
    <w:rsid w:val="00AA6A64"/>
    <w:rsid w:val="00AB63AE"/>
    <w:rsid w:val="00AB6F15"/>
    <w:rsid w:val="00AC168E"/>
    <w:rsid w:val="00AC2489"/>
    <w:rsid w:val="00AC26B0"/>
    <w:rsid w:val="00AE012A"/>
    <w:rsid w:val="00AE3826"/>
    <w:rsid w:val="00AE5150"/>
    <w:rsid w:val="00AF3333"/>
    <w:rsid w:val="00AF358F"/>
    <w:rsid w:val="00B06A22"/>
    <w:rsid w:val="00B12850"/>
    <w:rsid w:val="00B12A08"/>
    <w:rsid w:val="00B22246"/>
    <w:rsid w:val="00B23E4E"/>
    <w:rsid w:val="00B240DF"/>
    <w:rsid w:val="00B26BD3"/>
    <w:rsid w:val="00B32F75"/>
    <w:rsid w:val="00B339B6"/>
    <w:rsid w:val="00B4386E"/>
    <w:rsid w:val="00B46879"/>
    <w:rsid w:val="00B60745"/>
    <w:rsid w:val="00B66E90"/>
    <w:rsid w:val="00B7195E"/>
    <w:rsid w:val="00B73AF7"/>
    <w:rsid w:val="00B74B25"/>
    <w:rsid w:val="00B75362"/>
    <w:rsid w:val="00B760F5"/>
    <w:rsid w:val="00B76F36"/>
    <w:rsid w:val="00B81AE8"/>
    <w:rsid w:val="00B911C7"/>
    <w:rsid w:val="00BA1188"/>
    <w:rsid w:val="00BA4541"/>
    <w:rsid w:val="00BA70F4"/>
    <w:rsid w:val="00BB31B9"/>
    <w:rsid w:val="00BB563B"/>
    <w:rsid w:val="00BC1E9F"/>
    <w:rsid w:val="00BC2082"/>
    <w:rsid w:val="00BC4ECA"/>
    <w:rsid w:val="00BE1EF4"/>
    <w:rsid w:val="00BE201C"/>
    <w:rsid w:val="00BE598B"/>
    <w:rsid w:val="00BF721C"/>
    <w:rsid w:val="00C00929"/>
    <w:rsid w:val="00C117FC"/>
    <w:rsid w:val="00C16424"/>
    <w:rsid w:val="00C2650B"/>
    <w:rsid w:val="00C26C77"/>
    <w:rsid w:val="00C36C8A"/>
    <w:rsid w:val="00C43E23"/>
    <w:rsid w:val="00C443A2"/>
    <w:rsid w:val="00C451A4"/>
    <w:rsid w:val="00C45891"/>
    <w:rsid w:val="00C47798"/>
    <w:rsid w:val="00C52868"/>
    <w:rsid w:val="00C52C95"/>
    <w:rsid w:val="00C6132C"/>
    <w:rsid w:val="00C621C1"/>
    <w:rsid w:val="00C64857"/>
    <w:rsid w:val="00C65331"/>
    <w:rsid w:val="00C753A5"/>
    <w:rsid w:val="00C830A4"/>
    <w:rsid w:val="00C930C4"/>
    <w:rsid w:val="00CA3376"/>
    <w:rsid w:val="00CA55C2"/>
    <w:rsid w:val="00CB09DD"/>
    <w:rsid w:val="00CB1D4E"/>
    <w:rsid w:val="00CB1E63"/>
    <w:rsid w:val="00CB2721"/>
    <w:rsid w:val="00CC0F80"/>
    <w:rsid w:val="00CC578B"/>
    <w:rsid w:val="00CC5CBA"/>
    <w:rsid w:val="00CC6BF8"/>
    <w:rsid w:val="00CD5623"/>
    <w:rsid w:val="00CD7E06"/>
    <w:rsid w:val="00CE1DD4"/>
    <w:rsid w:val="00CE20EB"/>
    <w:rsid w:val="00D00C1B"/>
    <w:rsid w:val="00D05E80"/>
    <w:rsid w:val="00D1191A"/>
    <w:rsid w:val="00D14943"/>
    <w:rsid w:val="00D1524F"/>
    <w:rsid w:val="00D1670F"/>
    <w:rsid w:val="00D312CC"/>
    <w:rsid w:val="00D32473"/>
    <w:rsid w:val="00D329E5"/>
    <w:rsid w:val="00D33762"/>
    <w:rsid w:val="00D3461E"/>
    <w:rsid w:val="00D36418"/>
    <w:rsid w:val="00D50244"/>
    <w:rsid w:val="00D51451"/>
    <w:rsid w:val="00D51B29"/>
    <w:rsid w:val="00D52A54"/>
    <w:rsid w:val="00D5757E"/>
    <w:rsid w:val="00D60C49"/>
    <w:rsid w:val="00D658F2"/>
    <w:rsid w:val="00D70D52"/>
    <w:rsid w:val="00D72042"/>
    <w:rsid w:val="00D7458D"/>
    <w:rsid w:val="00D80DD5"/>
    <w:rsid w:val="00D8181F"/>
    <w:rsid w:val="00D832B8"/>
    <w:rsid w:val="00D86D8F"/>
    <w:rsid w:val="00D87960"/>
    <w:rsid w:val="00D909B6"/>
    <w:rsid w:val="00D96129"/>
    <w:rsid w:val="00DA2446"/>
    <w:rsid w:val="00DA7F4D"/>
    <w:rsid w:val="00DC27CE"/>
    <w:rsid w:val="00DC2D65"/>
    <w:rsid w:val="00DC59C9"/>
    <w:rsid w:val="00DD0394"/>
    <w:rsid w:val="00DD1A11"/>
    <w:rsid w:val="00DD224D"/>
    <w:rsid w:val="00DF7628"/>
    <w:rsid w:val="00E002DE"/>
    <w:rsid w:val="00E01EF3"/>
    <w:rsid w:val="00E048DB"/>
    <w:rsid w:val="00E07873"/>
    <w:rsid w:val="00E1629F"/>
    <w:rsid w:val="00E23AA6"/>
    <w:rsid w:val="00E23FAD"/>
    <w:rsid w:val="00E32BE1"/>
    <w:rsid w:val="00E34114"/>
    <w:rsid w:val="00E3442A"/>
    <w:rsid w:val="00E35351"/>
    <w:rsid w:val="00E432D8"/>
    <w:rsid w:val="00E504FD"/>
    <w:rsid w:val="00E537A2"/>
    <w:rsid w:val="00E57082"/>
    <w:rsid w:val="00E570C9"/>
    <w:rsid w:val="00E616A2"/>
    <w:rsid w:val="00E64EE7"/>
    <w:rsid w:val="00E65246"/>
    <w:rsid w:val="00E65533"/>
    <w:rsid w:val="00E70825"/>
    <w:rsid w:val="00E70C22"/>
    <w:rsid w:val="00E726F8"/>
    <w:rsid w:val="00E76D05"/>
    <w:rsid w:val="00E8285C"/>
    <w:rsid w:val="00E82E36"/>
    <w:rsid w:val="00EA1E95"/>
    <w:rsid w:val="00EB66B8"/>
    <w:rsid w:val="00EC1398"/>
    <w:rsid w:val="00EC3AF1"/>
    <w:rsid w:val="00ED799D"/>
    <w:rsid w:val="00ED7A00"/>
    <w:rsid w:val="00EE346D"/>
    <w:rsid w:val="00EE63AD"/>
    <w:rsid w:val="00EF0827"/>
    <w:rsid w:val="00EF3B82"/>
    <w:rsid w:val="00F05D49"/>
    <w:rsid w:val="00F0611C"/>
    <w:rsid w:val="00F1197F"/>
    <w:rsid w:val="00F22DCB"/>
    <w:rsid w:val="00F26C53"/>
    <w:rsid w:val="00F312A4"/>
    <w:rsid w:val="00F4183F"/>
    <w:rsid w:val="00F446E3"/>
    <w:rsid w:val="00F46B74"/>
    <w:rsid w:val="00F5241E"/>
    <w:rsid w:val="00F5477B"/>
    <w:rsid w:val="00F5697A"/>
    <w:rsid w:val="00F63C58"/>
    <w:rsid w:val="00F726DA"/>
    <w:rsid w:val="00F77B8C"/>
    <w:rsid w:val="00F77D14"/>
    <w:rsid w:val="00F801A2"/>
    <w:rsid w:val="00F832C5"/>
    <w:rsid w:val="00F922D8"/>
    <w:rsid w:val="00F955AB"/>
    <w:rsid w:val="00FA11BF"/>
    <w:rsid w:val="00FA211E"/>
    <w:rsid w:val="00FA77EB"/>
    <w:rsid w:val="00FB03BB"/>
    <w:rsid w:val="00FB2A49"/>
    <w:rsid w:val="00FB33E5"/>
    <w:rsid w:val="00FB3A82"/>
    <w:rsid w:val="00FC4DC7"/>
    <w:rsid w:val="00FD1412"/>
    <w:rsid w:val="00FD56D4"/>
    <w:rsid w:val="00FD57C3"/>
    <w:rsid w:val="00FD7095"/>
    <w:rsid w:val="00FE11EE"/>
    <w:rsid w:val="00FF28F0"/>
    <w:rsid w:val="02A23BE6"/>
    <w:rsid w:val="039C16CB"/>
    <w:rsid w:val="04AE55ED"/>
    <w:rsid w:val="04DF6F6B"/>
    <w:rsid w:val="06731F2C"/>
    <w:rsid w:val="079E64ED"/>
    <w:rsid w:val="091639A3"/>
    <w:rsid w:val="09464039"/>
    <w:rsid w:val="0A907FA0"/>
    <w:rsid w:val="0A9A3AC6"/>
    <w:rsid w:val="0C4008C0"/>
    <w:rsid w:val="0CB56422"/>
    <w:rsid w:val="0DA80092"/>
    <w:rsid w:val="0ED33344"/>
    <w:rsid w:val="13B4732E"/>
    <w:rsid w:val="13B52459"/>
    <w:rsid w:val="13BE006B"/>
    <w:rsid w:val="1479029B"/>
    <w:rsid w:val="149F015F"/>
    <w:rsid w:val="14BD15DA"/>
    <w:rsid w:val="14CF10EA"/>
    <w:rsid w:val="166FE064"/>
    <w:rsid w:val="167D35F6"/>
    <w:rsid w:val="168E6015"/>
    <w:rsid w:val="16BFEE8D"/>
    <w:rsid w:val="16CC3BC5"/>
    <w:rsid w:val="17DC75F1"/>
    <w:rsid w:val="1A5245B4"/>
    <w:rsid w:val="1BA33184"/>
    <w:rsid w:val="1CE4673D"/>
    <w:rsid w:val="1CF5D6B1"/>
    <w:rsid w:val="1D22683E"/>
    <w:rsid w:val="1D8D0D28"/>
    <w:rsid w:val="1E99128E"/>
    <w:rsid w:val="1F40164C"/>
    <w:rsid w:val="1F980FB8"/>
    <w:rsid w:val="1FDD6D6E"/>
    <w:rsid w:val="1FFFE6F0"/>
    <w:rsid w:val="200C1A49"/>
    <w:rsid w:val="21265632"/>
    <w:rsid w:val="21CB1421"/>
    <w:rsid w:val="229B69C1"/>
    <w:rsid w:val="23FB4FD3"/>
    <w:rsid w:val="267F42C9"/>
    <w:rsid w:val="280115A7"/>
    <w:rsid w:val="287F27F3"/>
    <w:rsid w:val="29604D38"/>
    <w:rsid w:val="299D795F"/>
    <w:rsid w:val="2A425160"/>
    <w:rsid w:val="2B0E7A5C"/>
    <w:rsid w:val="2B2A2FD9"/>
    <w:rsid w:val="2B5F66C9"/>
    <w:rsid w:val="2BB2112A"/>
    <w:rsid w:val="2BB21984"/>
    <w:rsid w:val="2BFCA440"/>
    <w:rsid w:val="2C2B2BEC"/>
    <w:rsid w:val="2D167C60"/>
    <w:rsid w:val="2E561689"/>
    <w:rsid w:val="2E8C478A"/>
    <w:rsid w:val="2ED74ABA"/>
    <w:rsid w:val="2EEC5612"/>
    <w:rsid w:val="2F755447"/>
    <w:rsid w:val="2F8E02E0"/>
    <w:rsid w:val="2FFC46C1"/>
    <w:rsid w:val="302044D0"/>
    <w:rsid w:val="30E904A7"/>
    <w:rsid w:val="315A1D85"/>
    <w:rsid w:val="33FA2D8B"/>
    <w:rsid w:val="345824D9"/>
    <w:rsid w:val="35D74966"/>
    <w:rsid w:val="367D0AA1"/>
    <w:rsid w:val="375378C7"/>
    <w:rsid w:val="37A11AD6"/>
    <w:rsid w:val="399515EE"/>
    <w:rsid w:val="39EBB25B"/>
    <w:rsid w:val="3B5D6675"/>
    <w:rsid w:val="3B605C65"/>
    <w:rsid w:val="3BCC0727"/>
    <w:rsid w:val="3BEF3630"/>
    <w:rsid w:val="3BFBF369"/>
    <w:rsid w:val="3CE5F334"/>
    <w:rsid w:val="3EBF2E31"/>
    <w:rsid w:val="3EF05E39"/>
    <w:rsid w:val="3F3F93DF"/>
    <w:rsid w:val="3F77EF85"/>
    <w:rsid w:val="3FDD8175"/>
    <w:rsid w:val="3FE31F9F"/>
    <w:rsid w:val="423D3880"/>
    <w:rsid w:val="42C37272"/>
    <w:rsid w:val="431C03EF"/>
    <w:rsid w:val="437D58DE"/>
    <w:rsid w:val="43FF1E24"/>
    <w:rsid w:val="44B95EB7"/>
    <w:rsid w:val="46DE6E8F"/>
    <w:rsid w:val="479D13A0"/>
    <w:rsid w:val="47CE1316"/>
    <w:rsid w:val="48DB01DA"/>
    <w:rsid w:val="4A682F88"/>
    <w:rsid w:val="4A9C55DB"/>
    <w:rsid w:val="4B0C4F7C"/>
    <w:rsid w:val="4D1F2E11"/>
    <w:rsid w:val="4DEFF489"/>
    <w:rsid w:val="4E7810A4"/>
    <w:rsid w:val="4FC145C9"/>
    <w:rsid w:val="4FD39326"/>
    <w:rsid w:val="50CA6585"/>
    <w:rsid w:val="50DA2886"/>
    <w:rsid w:val="511050D9"/>
    <w:rsid w:val="512E40C9"/>
    <w:rsid w:val="52E2243E"/>
    <w:rsid w:val="532E0DC7"/>
    <w:rsid w:val="54DDBC27"/>
    <w:rsid w:val="55235107"/>
    <w:rsid w:val="559040BB"/>
    <w:rsid w:val="55B321FD"/>
    <w:rsid w:val="56857A89"/>
    <w:rsid w:val="56F7EE87"/>
    <w:rsid w:val="57371E74"/>
    <w:rsid w:val="577A49AE"/>
    <w:rsid w:val="578F7137"/>
    <w:rsid w:val="57F779B9"/>
    <w:rsid w:val="583563E5"/>
    <w:rsid w:val="588C5889"/>
    <w:rsid w:val="59243AD2"/>
    <w:rsid w:val="59B64DCE"/>
    <w:rsid w:val="5B480A30"/>
    <w:rsid w:val="5BE65CD8"/>
    <w:rsid w:val="5C60791F"/>
    <w:rsid w:val="5D154B9B"/>
    <w:rsid w:val="5D3D2C1C"/>
    <w:rsid w:val="5DCBE693"/>
    <w:rsid w:val="5E5F5372"/>
    <w:rsid w:val="5E8F93CE"/>
    <w:rsid w:val="5ECD4ABD"/>
    <w:rsid w:val="5ED730EE"/>
    <w:rsid w:val="5EDC587F"/>
    <w:rsid w:val="5FEF918C"/>
    <w:rsid w:val="5FFDD533"/>
    <w:rsid w:val="60033A87"/>
    <w:rsid w:val="60FF396F"/>
    <w:rsid w:val="61624EFD"/>
    <w:rsid w:val="616F775B"/>
    <w:rsid w:val="61AF2987"/>
    <w:rsid w:val="62732660"/>
    <w:rsid w:val="62BE54F7"/>
    <w:rsid w:val="636F18C7"/>
    <w:rsid w:val="639A1E21"/>
    <w:rsid w:val="63DB1D24"/>
    <w:rsid w:val="63FA022B"/>
    <w:rsid w:val="669A69ED"/>
    <w:rsid w:val="674E75D2"/>
    <w:rsid w:val="675D0379"/>
    <w:rsid w:val="67C9309D"/>
    <w:rsid w:val="6AFE4B4B"/>
    <w:rsid w:val="6BBE90AB"/>
    <w:rsid w:val="6BC13D7E"/>
    <w:rsid w:val="6BC25051"/>
    <w:rsid w:val="6DE97CD1"/>
    <w:rsid w:val="6E82458B"/>
    <w:rsid w:val="6F271FDF"/>
    <w:rsid w:val="6F583473"/>
    <w:rsid w:val="6F730A95"/>
    <w:rsid w:val="6FB7976E"/>
    <w:rsid w:val="6FEF29D7"/>
    <w:rsid w:val="6FEF8C24"/>
    <w:rsid w:val="70552A03"/>
    <w:rsid w:val="72BD4942"/>
    <w:rsid w:val="73411D10"/>
    <w:rsid w:val="73BE19CE"/>
    <w:rsid w:val="73BF43D8"/>
    <w:rsid w:val="7445007C"/>
    <w:rsid w:val="747163D0"/>
    <w:rsid w:val="74F60C1D"/>
    <w:rsid w:val="75DF6D6D"/>
    <w:rsid w:val="76EE025A"/>
    <w:rsid w:val="76FCFE42"/>
    <w:rsid w:val="76FE1937"/>
    <w:rsid w:val="7711A0CC"/>
    <w:rsid w:val="77B04772"/>
    <w:rsid w:val="77B61C17"/>
    <w:rsid w:val="77DC42BB"/>
    <w:rsid w:val="77E5D91A"/>
    <w:rsid w:val="77EF4DF7"/>
    <w:rsid w:val="77EFDE27"/>
    <w:rsid w:val="77FFFD18"/>
    <w:rsid w:val="78F6C18C"/>
    <w:rsid w:val="79BAA018"/>
    <w:rsid w:val="7A6F35C9"/>
    <w:rsid w:val="7B6D2F8C"/>
    <w:rsid w:val="7BC0083C"/>
    <w:rsid w:val="7BFF9672"/>
    <w:rsid w:val="7CF3615C"/>
    <w:rsid w:val="7D3A7CBF"/>
    <w:rsid w:val="7DF34045"/>
    <w:rsid w:val="7E9DBC14"/>
    <w:rsid w:val="7EBD6E26"/>
    <w:rsid w:val="7EBFDFCD"/>
    <w:rsid w:val="7EED9052"/>
    <w:rsid w:val="7EF62AE1"/>
    <w:rsid w:val="7EFDC67D"/>
    <w:rsid w:val="7EFF1492"/>
    <w:rsid w:val="7F295531"/>
    <w:rsid w:val="7F3BAD88"/>
    <w:rsid w:val="7F3E94E9"/>
    <w:rsid w:val="7F7804DA"/>
    <w:rsid w:val="7F7AF450"/>
    <w:rsid w:val="7FB37B2D"/>
    <w:rsid w:val="8E3D4BEB"/>
    <w:rsid w:val="97F35CB7"/>
    <w:rsid w:val="9BEE8E0C"/>
    <w:rsid w:val="AA9F6BDA"/>
    <w:rsid w:val="ADFF339D"/>
    <w:rsid w:val="AEBAEC12"/>
    <w:rsid w:val="AFEF19F8"/>
    <w:rsid w:val="B5EF541A"/>
    <w:rsid w:val="B7778E38"/>
    <w:rsid w:val="B9D94748"/>
    <w:rsid w:val="BCB9C180"/>
    <w:rsid w:val="BECFF9E3"/>
    <w:rsid w:val="BFF385FB"/>
    <w:rsid w:val="BFF6AA07"/>
    <w:rsid w:val="BFFBCD5A"/>
    <w:rsid w:val="CBFBFC97"/>
    <w:rsid w:val="CE37DB06"/>
    <w:rsid w:val="D1EB0513"/>
    <w:rsid w:val="DB37B711"/>
    <w:rsid w:val="DE7FE4C2"/>
    <w:rsid w:val="DEFB6FE0"/>
    <w:rsid w:val="DF7E873F"/>
    <w:rsid w:val="DFBFB172"/>
    <w:rsid w:val="E2F5EB01"/>
    <w:rsid w:val="E6C7B079"/>
    <w:rsid w:val="E6FE3414"/>
    <w:rsid w:val="E7BF79D1"/>
    <w:rsid w:val="E7F779F4"/>
    <w:rsid w:val="EBE9C3B9"/>
    <w:rsid w:val="EBF6B062"/>
    <w:rsid w:val="EE7E893E"/>
    <w:rsid w:val="EEAF0FB1"/>
    <w:rsid w:val="EEF334AA"/>
    <w:rsid w:val="EF3FA6D5"/>
    <w:rsid w:val="EF7F6D6B"/>
    <w:rsid w:val="EFB3D9A0"/>
    <w:rsid w:val="EFFD246E"/>
    <w:rsid w:val="EFFF3918"/>
    <w:rsid w:val="F3FBACF4"/>
    <w:rsid w:val="F577B7C9"/>
    <w:rsid w:val="F5BE639C"/>
    <w:rsid w:val="F7BEC2CC"/>
    <w:rsid w:val="F977753F"/>
    <w:rsid w:val="F9AF4D38"/>
    <w:rsid w:val="F9EAF2F7"/>
    <w:rsid w:val="F9F1C3FB"/>
    <w:rsid w:val="F9FFE92D"/>
    <w:rsid w:val="FAFA657A"/>
    <w:rsid w:val="FBEDD372"/>
    <w:rsid w:val="FD5FA3FF"/>
    <w:rsid w:val="FD9D5C9F"/>
    <w:rsid w:val="FE7F15BB"/>
    <w:rsid w:val="FE7F2E6D"/>
    <w:rsid w:val="FEA58BC5"/>
    <w:rsid w:val="FF658D10"/>
    <w:rsid w:val="FF973176"/>
    <w:rsid w:val="FFAD7315"/>
    <w:rsid w:val="FFE7E77B"/>
    <w:rsid w:val="FFEF5D98"/>
    <w:rsid w:val="FFFE7FDF"/>
    <w:rsid w:val="FFFFBDE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5"/>
    <w:qFormat/>
    <w:uiPriority w:val="0"/>
    <w:pPr>
      <w:jc w:val="center"/>
      <w:outlineLvl w:val="0"/>
    </w:pPr>
    <w:rPr>
      <w:rFonts w:ascii="方正小标宋简体" w:hAnsi="方正小标宋简体" w:eastAsia="方正小标宋简体" w:cs="仿宋"/>
      <w:bCs/>
      <w:sz w:val="36"/>
      <w:szCs w:val="36"/>
    </w:rPr>
  </w:style>
  <w:style w:type="paragraph" w:styleId="3">
    <w:name w:val="heading 2"/>
    <w:basedOn w:val="1"/>
    <w:next w:val="1"/>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qFormat/>
    <w:uiPriority w:val="0"/>
    <w:pPr>
      <w:keepNext/>
      <w:keepLines/>
      <w:spacing w:before="260" w:after="260" w:line="416" w:lineRule="auto"/>
      <w:outlineLvl w:val="2"/>
    </w:pPr>
    <w:rPr>
      <w:b/>
      <w:bCs/>
      <w:sz w:val="32"/>
      <w:szCs w:val="32"/>
    </w:rPr>
  </w:style>
  <w:style w:type="paragraph" w:styleId="5">
    <w:name w:val="heading 4"/>
    <w:basedOn w:val="1"/>
    <w:next w:val="1"/>
    <w:semiHidden/>
    <w:unhideWhenUsed/>
    <w:qFormat/>
    <w:uiPriority w:val="0"/>
    <w:pPr>
      <w:spacing w:beforeAutospacing="1" w:afterAutospacing="1"/>
      <w:jc w:val="left"/>
      <w:outlineLvl w:val="3"/>
    </w:pPr>
    <w:rPr>
      <w:rFonts w:hint="eastAsia" w:ascii="宋体" w:hAnsi="宋体"/>
      <w:b/>
      <w:bCs/>
      <w:kern w:val="0"/>
      <w:sz w:val="24"/>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6">
    <w:name w:val="annotation text"/>
    <w:basedOn w:val="1"/>
    <w:link w:val="20"/>
    <w:qFormat/>
    <w:uiPriority w:val="0"/>
    <w:pPr>
      <w:jc w:val="left"/>
    </w:pPr>
  </w:style>
  <w:style w:type="paragraph" w:styleId="7">
    <w:name w:val="Body Text"/>
    <w:basedOn w:val="1"/>
    <w:next w:val="8"/>
    <w:link w:val="39"/>
    <w:qFormat/>
    <w:uiPriority w:val="0"/>
    <w:rPr>
      <w:rFonts w:ascii="宋体" w:hAnsi="宋体" w:cs="宋体"/>
      <w:sz w:val="30"/>
      <w:szCs w:val="30"/>
      <w:lang w:eastAsia="en-US"/>
    </w:rPr>
  </w:style>
  <w:style w:type="paragraph" w:styleId="8">
    <w:name w:val="Body Text Indent 2"/>
    <w:basedOn w:val="1"/>
    <w:next w:val="9"/>
    <w:link w:val="40"/>
    <w:qFormat/>
    <w:uiPriority w:val="99"/>
    <w:pPr>
      <w:spacing w:after="120" w:line="480" w:lineRule="auto"/>
      <w:ind w:left="420" w:leftChars="200"/>
    </w:pPr>
  </w:style>
  <w:style w:type="paragraph" w:styleId="9">
    <w:name w:val="header"/>
    <w:basedOn w:val="1"/>
    <w:link w:val="22"/>
    <w:qFormat/>
    <w:uiPriority w:val="0"/>
    <w:pPr>
      <w:pBdr>
        <w:bottom w:val="single" w:color="auto" w:sz="6" w:space="1"/>
      </w:pBdr>
      <w:tabs>
        <w:tab w:val="center" w:pos="4153"/>
        <w:tab w:val="right" w:pos="8306"/>
      </w:tabs>
      <w:snapToGrid w:val="0"/>
      <w:jc w:val="center"/>
    </w:pPr>
    <w:rPr>
      <w:sz w:val="18"/>
      <w:szCs w:val="18"/>
    </w:rPr>
  </w:style>
  <w:style w:type="paragraph" w:styleId="10">
    <w:name w:val="Balloon Text"/>
    <w:basedOn w:val="1"/>
    <w:qFormat/>
    <w:uiPriority w:val="0"/>
    <w:rPr>
      <w:sz w:val="18"/>
      <w:szCs w:val="18"/>
    </w:rPr>
  </w:style>
  <w:style w:type="paragraph" w:styleId="11">
    <w:name w:val="footer"/>
    <w:basedOn w:val="1"/>
    <w:link w:val="21"/>
    <w:qFormat/>
    <w:uiPriority w:val="99"/>
    <w:pPr>
      <w:tabs>
        <w:tab w:val="center" w:pos="4153"/>
        <w:tab w:val="right" w:pos="8306"/>
      </w:tabs>
      <w:snapToGrid w:val="0"/>
      <w:jc w:val="left"/>
    </w:pPr>
    <w:rPr>
      <w:sz w:val="18"/>
      <w:szCs w:val="18"/>
    </w:rPr>
  </w:style>
  <w:style w:type="paragraph" w:styleId="12">
    <w:name w:val="Normal (Web)"/>
    <w:basedOn w:val="1"/>
    <w:qFormat/>
    <w:uiPriority w:val="99"/>
    <w:pPr>
      <w:widowControl/>
      <w:spacing w:before="100" w:beforeAutospacing="1" w:after="100" w:afterAutospacing="1"/>
      <w:jc w:val="left"/>
    </w:pPr>
    <w:rPr>
      <w:rFonts w:ascii="宋体" w:hAnsi="宋体" w:cs="宋体"/>
      <w:color w:val="000000"/>
      <w:kern w:val="0"/>
      <w:sz w:val="24"/>
    </w:rPr>
  </w:style>
  <w:style w:type="table" w:styleId="14">
    <w:name w:val="Table Grid"/>
    <w:basedOn w:val="13"/>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16">
    <w:name w:val="Strong"/>
    <w:qFormat/>
    <w:uiPriority w:val="22"/>
    <w:rPr>
      <w:b/>
      <w:bCs/>
    </w:rPr>
  </w:style>
  <w:style w:type="character" w:styleId="17">
    <w:name w:val="FollowedHyperlink"/>
    <w:unhideWhenUsed/>
    <w:qFormat/>
    <w:uiPriority w:val="99"/>
    <w:rPr>
      <w:color w:val="000000"/>
      <w:sz w:val="18"/>
      <w:szCs w:val="18"/>
      <w:u w:val="none"/>
    </w:rPr>
  </w:style>
  <w:style w:type="character" w:styleId="18">
    <w:name w:val="Hyperlink"/>
    <w:unhideWhenUsed/>
    <w:qFormat/>
    <w:uiPriority w:val="99"/>
    <w:rPr>
      <w:color w:val="000000"/>
      <w:sz w:val="18"/>
      <w:szCs w:val="18"/>
      <w:u w:val="none"/>
    </w:rPr>
  </w:style>
  <w:style w:type="character" w:styleId="19">
    <w:name w:val="annotation reference"/>
    <w:basedOn w:val="15"/>
    <w:qFormat/>
    <w:uiPriority w:val="0"/>
    <w:rPr>
      <w:sz w:val="21"/>
      <w:szCs w:val="21"/>
    </w:rPr>
  </w:style>
  <w:style w:type="character" w:customStyle="1" w:styleId="20">
    <w:name w:val="批注文字 字符"/>
    <w:link w:val="6"/>
    <w:qFormat/>
    <w:uiPriority w:val="0"/>
  </w:style>
  <w:style w:type="character" w:customStyle="1" w:styleId="21">
    <w:name w:val="页脚 字符"/>
    <w:link w:val="11"/>
    <w:qFormat/>
    <w:uiPriority w:val="99"/>
    <w:rPr>
      <w:kern w:val="2"/>
      <w:sz w:val="18"/>
      <w:szCs w:val="18"/>
    </w:rPr>
  </w:style>
  <w:style w:type="character" w:customStyle="1" w:styleId="22">
    <w:name w:val="页眉 字符"/>
    <w:link w:val="9"/>
    <w:qFormat/>
    <w:uiPriority w:val="0"/>
    <w:rPr>
      <w:kern w:val="2"/>
      <w:sz w:val="18"/>
      <w:szCs w:val="18"/>
    </w:rPr>
  </w:style>
  <w:style w:type="character" w:customStyle="1" w:styleId="23">
    <w:name w:val="zhenwen14"/>
    <w:qFormat/>
    <w:uiPriority w:val="0"/>
  </w:style>
  <w:style w:type="character" w:customStyle="1" w:styleId="24">
    <w:name w:val="z-窗体底端 字符"/>
    <w:link w:val="25"/>
    <w:semiHidden/>
    <w:qFormat/>
    <w:uiPriority w:val="99"/>
    <w:rPr>
      <w:rFonts w:ascii="Arial" w:hAnsi="Arial" w:cs="Arial"/>
      <w:vanish/>
      <w:sz w:val="16"/>
      <w:szCs w:val="16"/>
    </w:rPr>
  </w:style>
  <w:style w:type="paragraph" w:customStyle="1" w:styleId="25">
    <w:name w:val="z-窗体底端1"/>
    <w:basedOn w:val="1"/>
    <w:next w:val="1"/>
    <w:link w:val="24"/>
    <w:unhideWhenUsed/>
    <w:qFormat/>
    <w:uiPriority w:val="99"/>
    <w:pPr>
      <w:widowControl/>
      <w:pBdr>
        <w:top w:val="single" w:color="auto" w:sz="6" w:space="1"/>
      </w:pBdr>
      <w:jc w:val="center"/>
    </w:pPr>
    <w:rPr>
      <w:rFonts w:ascii="Arial" w:hAnsi="Arial" w:cs="Arial"/>
      <w:vanish/>
      <w:kern w:val="0"/>
      <w:sz w:val="16"/>
      <w:szCs w:val="16"/>
    </w:rPr>
  </w:style>
  <w:style w:type="character" w:customStyle="1" w:styleId="26">
    <w:name w:val="z-窗体顶端 字符"/>
    <w:link w:val="27"/>
    <w:semiHidden/>
    <w:qFormat/>
    <w:uiPriority w:val="99"/>
    <w:rPr>
      <w:rFonts w:ascii="Arial" w:hAnsi="Arial" w:cs="Arial"/>
      <w:vanish/>
      <w:sz w:val="16"/>
      <w:szCs w:val="16"/>
    </w:rPr>
  </w:style>
  <w:style w:type="paragraph" w:customStyle="1" w:styleId="27">
    <w:name w:val="z-窗体顶端1"/>
    <w:basedOn w:val="1"/>
    <w:next w:val="1"/>
    <w:link w:val="26"/>
    <w:unhideWhenUsed/>
    <w:qFormat/>
    <w:uiPriority w:val="99"/>
    <w:pPr>
      <w:widowControl/>
      <w:pBdr>
        <w:bottom w:val="single" w:color="auto" w:sz="6" w:space="1"/>
      </w:pBdr>
      <w:jc w:val="center"/>
    </w:pPr>
    <w:rPr>
      <w:rFonts w:ascii="Arial" w:hAnsi="Arial" w:cs="Arial"/>
      <w:vanish/>
      <w:kern w:val="0"/>
      <w:sz w:val="16"/>
      <w:szCs w:val="16"/>
    </w:rPr>
  </w:style>
  <w:style w:type="character" w:customStyle="1" w:styleId="28">
    <w:name w:val="reg"/>
    <w:qFormat/>
    <w:uiPriority w:val="0"/>
  </w:style>
  <w:style w:type="character" w:customStyle="1" w:styleId="29">
    <w:name w:val="btn03"/>
    <w:qFormat/>
    <w:uiPriority w:val="0"/>
  </w:style>
  <w:style w:type="character" w:customStyle="1" w:styleId="30">
    <w:name w:val="apple-converted-space"/>
    <w:qFormat/>
    <w:uiPriority w:val="0"/>
  </w:style>
  <w:style w:type="character" w:customStyle="1" w:styleId="31">
    <w:name w:val="NormalCharacter"/>
    <w:semiHidden/>
    <w:qFormat/>
    <w:uiPriority w:val="0"/>
  </w:style>
  <w:style w:type="character" w:customStyle="1" w:styleId="32">
    <w:name w:val="last-child"/>
    <w:qFormat/>
    <w:uiPriority w:val="0"/>
  </w:style>
  <w:style w:type="character" w:customStyle="1" w:styleId="33">
    <w:name w:val="first-child"/>
    <w:qFormat/>
    <w:uiPriority w:val="0"/>
  </w:style>
  <w:style w:type="paragraph" w:customStyle="1" w:styleId="34">
    <w:name w:val="修订1"/>
    <w:hidden/>
    <w:unhideWhenUsed/>
    <w:qFormat/>
    <w:uiPriority w:val="99"/>
    <w:rPr>
      <w:rFonts w:ascii="Times New Roman" w:hAnsi="Times New Roman" w:eastAsia="宋体" w:cs="Times New Roman"/>
      <w:kern w:val="2"/>
      <w:sz w:val="21"/>
      <w:szCs w:val="24"/>
      <w:lang w:val="en-US" w:eastAsia="zh-CN" w:bidi="ar-SA"/>
    </w:rPr>
  </w:style>
  <w:style w:type="character" w:customStyle="1" w:styleId="35">
    <w:name w:val="标题 1 字符"/>
    <w:basedOn w:val="15"/>
    <w:link w:val="2"/>
    <w:qFormat/>
    <w:uiPriority w:val="0"/>
    <w:rPr>
      <w:rFonts w:ascii="方正小标宋简体" w:hAnsi="方正小标宋简体" w:eastAsia="方正小标宋简体" w:cs="仿宋"/>
      <w:bCs/>
      <w:kern w:val="2"/>
      <w:sz w:val="36"/>
      <w:szCs w:val="36"/>
    </w:rPr>
  </w:style>
  <w:style w:type="character" w:customStyle="1" w:styleId="36">
    <w:name w:val="10"/>
    <w:basedOn w:val="15"/>
    <w:qFormat/>
    <w:uiPriority w:val="0"/>
    <w:rPr>
      <w:rFonts w:hint="default" w:ascii="Times New Roman" w:hAnsi="Times New Roman" w:cs="Times New Roman"/>
    </w:rPr>
  </w:style>
  <w:style w:type="character" w:customStyle="1" w:styleId="37">
    <w:name w:val="15"/>
    <w:basedOn w:val="15"/>
    <w:qFormat/>
    <w:uiPriority w:val="0"/>
    <w:rPr>
      <w:rFonts w:hint="default" w:ascii="Times New Roman" w:hAnsi="Times New Roman" w:cs="Times New Roman"/>
      <w:b/>
    </w:rPr>
  </w:style>
  <w:style w:type="paragraph" w:styleId="38">
    <w:name w:val="List Paragraph"/>
    <w:basedOn w:val="1"/>
    <w:unhideWhenUsed/>
    <w:qFormat/>
    <w:uiPriority w:val="99"/>
    <w:pPr>
      <w:ind w:firstLine="420" w:firstLineChars="200"/>
    </w:pPr>
  </w:style>
  <w:style w:type="character" w:customStyle="1" w:styleId="39">
    <w:name w:val="正文文本 字符"/>
    <w:basedOn w:val="15"/>
    <w:link w:val="7"/>
    <w:qFormat/>
    <w:uiPriority w:val="0"/>
    <w:rPr>
      <w:rFonts w:ascii="宋体" w:hAnsi="宋体" w:cs="宋体"/>
      <w:kern w:val="2"/>
      <w:sz w:val="30"/>
      <w:szCs w:val="30"/>
      <w:lang w:eastAsia="en-US"/>
    </w:rPr>
  </w:style>
  <w:style w:type="character" w:customStyle="1" w:styleId="40">
    <w:name w:val="正文文本缩进 2 字符"/>
    <w:basedOn w:val="15"/>
    <w:link w:val="8"/>
    <w:qFormat/>
    <w:uiPriority w:val="99"/>
    <w:rPr>
      <w:kern w:val="2"/>
      <w:sz w:val="21"/>
      <w:szCs w:val="24"/>
    </w:rPr>
  </w:style>
  <w:style w:type="character" w:customStyle="1" w:styleId="41">
    <w:name w:val="默认段落字体1"/>
    <w:semiHidden/>
    <w:qFormat/>
    <w:uiPriority w:val="0"/>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header" Target="header4.xml"/><Relationship Id="rId6" Type="http://schemas.openxmlformats.org/officeDocument/2006/relationships/header" Target="header3.xml"/><Relationship Id="rId5" Type="http://schemas.openxmlformats.org/officeDocument/2006/relationships/header" Target="header2.xml"/><Relationship Id="rId4" Type="http://schemas.openxmlformats.org/officeDocument/2006/relationships/header" Target="header1.xml"/><Relationship Id="rId3" Type="http://schemas.openxmlformats.org/officeDocument/2006/relationships/footer" Target="foot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151</Pages>
  <Words>9792</Words>
  <Characters>10104</Characters>
  <Lines>561</Lines>
  <Paragraphs>158</Paragraphs>
  <TotalTime>178</TotalTime>
  <ScaleCrop>false</ScaleCrop>
  <LinksUpToDate>false</LinksUpToDate>
  <CharactersWithSpaces>10221</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2026-04-03T11:07:00Z</dcterms:created>
  <dc:creator>Administrator</dc:creator>
  <cp:lastModifiedBy>镜花水月</cp:lastModifiedBy>
  <cp:lastPrinted>2026-04-15T06:40:00Z</cp:lastPrinted>
  <dcterms:modified xsi:type="dcterms:W3CDTF">2026-04-22T06:54:49Z</dcterms:modified>
  <dc:title>高处作业安全监督交底</dc:title>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7CF2A73A59E8482E9004CB866A9FEBB6_13</vt:lpwstr>
  </property>
  <property fmtid="{D5CDD505-2E9C-101B-9397-08002B2CF9AE}" pid="4" name="KSOTemplateDocerSaveRecord">
    <vt:lpwstr>eyJoZGlkIjoiYTcxYmRjNDViNmQzNDExNGYwMzdhMTdiMzI4MzMxMWYiLCJ1c2VySWQiOiIzMzQxOTEwNjQifQ==</vt:lpwstr>
  </property>
</Properties>
</file>