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auto"/>
          <w:sz w:val="32"/>
          <w:szCs w:val="32"/>
          <w:highlight w:val="none"/>
        </w:rPr>
      </w:pPr>
      <w:r>
        <w:rPr>
          <w:rFonts w:ascii="黑体" w:hAnsi="黑体" w:eastAsia="黑体"/>
          <w:color w:val="auto"/>
          <w:sz w:val="32"/>
          <w:szCs w:val="32"/>
          <w:highlight w:val="none"/>
        </w:rPr>
        <w:t xml:space="preserve">附件1 </w:t>
      </w:r>
    </w:p>
    <w:p>
      <w:pPr>
        <w:keepNext w:val="0"/>
        <w:keepLines w:val="0"/>
        <w:pageBreakBefore w:val="0"/>
        <w:kinsoku/>
        <w:wordWrap/>
        <w:overflowPunct/>
        <w:topLinePunct w:val="0"/>
        <w:autoSpaceDE/>
        <w:autoSpaceDN/>
        <w:bidi w:val="0"/>
        <w:snapToGrid w:val="0"/>
        <w:spacing w:line="520" w:lineRule="exact"/>
        <w:ind w:firstLine="864"/>
        <w:jc w:val="center"/>
        <w:textAlignment w:val="auto"/>
        <w:rPr>
          <w:rFonts w:ascii="方正小标宋简体" w:hAnsi="Times New Roman" w:eastAsia="方正小标宋简体"/>
          <w:color w:val="auto"/>
          <w:sz w:val="44"/>
          <w:szCs w:val="44"/>
          <w:highlight w:val="none"/>
        </w:rPr>
      </w:pPr>
      <w:r>
        <w:rPr>
          <w:rFonts w:hint="eastAsia" w:ascii="方正小标宋简体" w:hAnsi="Times New Roman" w:eastAsia="方正小标宋简体"/>
          <w:color w:val="auto"/>
          <w:sz w:val="44"/>
          <w:szCs w:val="44"/>
          <w:highlight w:val="none"/>
        </w:rPr>
        <w:t>综合评估法</w:t>
      </w:r>
    </w:p>
    <w:p>
      <w:pPr>
        <w:keepNext w:val="0"/>
        <w:keepLines w:val="0"/>
        <w:pageBreakBefore w:val="0"/>
        <w:shd w:val="clear" w:color="auto" w:fill="FFFFFF"/>
        <w:kinsoku/>
        <w:wordWrap/>
        <w:overflowPunct/>
        <w:topLinePunct w:val="0"/>
        <w:autoSpaceDE/>
        <w:autoSpaceDN/>
        <w:bidi w:val="0"/>
        <w:snapToGrid w:val="0"/>
        <w:spacing w:line="520" w:lineRule="exact"/>
        <w:ind w:firstLine="624" w:firstLineChars="200"/>
        <w:textAlignment w:val="auto"/>
        <w:rPr>
          <w:rFonts w:ascii="Times New Roman" w:hAnsi="Times New Roman" w:eastAsia="仿宋_GB2312"/>
          <w:color w:val="auto"/>
          <w:kern w:val="0"/>
          <w:sz w:val="32"/>
          <w:szCs w:val="32"/>
          <w:highlight w:val="none"/>
        </w:rPr>
      </w:pPr>
      <w:r>
        <w:rPr>
          <w:rFonts w:ascii="黑体" w:hAnsi="黑体" w:eastAsia="黑体"/>
          <w:bCs/>
          <w:color w:val="auto"/>
          <w:kern w:val="0"/>
          <w:sz w:val="32"/>
          <w:szCs w:val="32"/>
          <w:highlight w:val="none"/>
        </w:rPr>
        <w:t>一、</w:t>
      </w:r>
      <w:r>
        <w:rPr>
          <w:rFonts w:hint="eastAsia" w:ascii="黑体" w:hAnsi="黑体" w:eastAsia="黑体"/>
          <w:bCs/>
          <w:color w:val="auto"/>
          <w:kern w:val="0"/>
          <w:sz w:val="32"/>
          <w:szCs w:val="32"/>
          <w:highlight w:val="none"/>
        </w:rPr>
        <w:t>评审</w:t>
      </w:r>
      <w:r>
        <w:rPr>
          <w:rFonts w:ascii="黑体" w:hAnsi="黑体" w:eastAsia="黑体"/>
          <w:bCs/>
          <w:color w:val="auto"/>
          <w:kern w:val="0"/>
          <w:sz w:val="32"/>
          <w:szCs w:val="32"/>
          <w:highlight w:val="none"/>
        </w:rPr>
        <w:t>程序</w:t>
      </w:r>
    </w:p>
    <w:p>
      <w:pPr>
        <w:keepNext w:val="0"/>
        <w:keepLines w:val="0"/>
        <w:pageBreakBefore w:val="0"/>
        <w:shd w:val="clear" w:color="auto" w:fill="FFFFFF"/>
        <w:kinsoku/>
        <w:wordWrap/>
        <w:overflowPunct/>
        <w:topLinePunct w:val="0"/>
        <w:autoSpaceDE/>
        <w:autoSpaceDN/>
        <w:bidi w:val="0"/>
        <w:snapToGrid w:val="0"/>
        <w:spacing w:line="520" w:lineRule="exact"/>
        <w:ind w:firstLine="624" w:firstLineChars="200"/>
        <w:textAlignment w:val="auto"/>
        <w:rPr>
          <w:rFonts w:hint="eastAsia" w:ascii="宋体" w:hAnsi="宋体" w:eastAsia="宋体" w:cs="宋体"/>
          <w:bCs/>
          <w:color w:val="auto"/>
          <w:kern w:val="0"/>
          <w:sz w:val="32"/>
          <w:szCs w:val="32"/>
          <w:highlight w:val="none"/>
        </w:rPr>
      </w:pPr>
      <w:r>
        <w:rPr>
          <w:rFonts w:hint="eastAsia" w:ascii="宋体" w:hAnsi="宋体" w:eastAsia="宋体" w:cs="宋体"/>
          <w:bCs/>
          <w:color w:val="auto"/>
          <w:kern w:val="0"/>
          <w:sz w:val="32"/>
          <w:szCs w:val="32"/>
          <w:highlight w:val="none"/>
        </w:rPr>
        <w:t>评审程序如下：</w:t>
      </w:r>
    </w:p>
    <w:p>
      <w:pPr>
        <w:keepNext w:val="0"/>
        <w:keepLines w:val="0"/>
        <w:pageBreakBefore w:val="0"/>
        <w:shd w:val="clear" w:color="auto" w:fill="FFFFFF"/>
        <w:kinsoku/>
        <w:wordWrap/>
        <w:overflowPunct/>
        <w:topLinePunct w:val="0"/>
        <w:autoSpaceDE/>
        <w:autoSpaceDN/>
        <w:bidi w:val="0"/>
        <w:snapToGrid w:val="0"/>
        <w:spacing w:line="520" w:lineRule="exact"/>
        <w:ind w:firstLine="624" w:firstLineChars="200"/>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1．技术方案评审。按照本暂行办法第二十四条以及相关评审表格和招标文件的规定进行评审。</w:t>
      </w:r>
    </w:p>
    <w:p>
      <w:pPr>
        <w:keepNext w:val="0"/>
        <w:keepLines w:val="0"/>
        <w:pageBreakBefore w:val="0"/>
        <w:shd w:val="clear" w:color="auto" w:fill="FFFFFF"/>
        <w:kinsoku/>
        <w:wordWrap/>
        <w:overflowPunct/>
        <w:topLinePunct w:val="0"/>
        <w:autoSpaceDE/>
        <w:autoSpaceDN/>
        <w:bidi w:val="0"/>
        <w:snapToGrid w:val="0"/>
        <w:spacing w:line="520" w:lineRule="exact"/>
        <w:ind w:firstLine="624" w:firstLineChars="200"/>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2．按照本暂行办法第十九条至二十二条以及招标文件规定，对投标文件的形式、投标人资格和实质性响应招标文件情况进行评审。对不符合相关规定和要求的投标文件予以否决。</w:t>
      </w:r>
    </w:p>
    <w:p>
      <w:pPr>
        <w:keepNext w:val="0"/>
        <w:keepLines w:val="0"/>
        <w:pageBreakBefore w:val="0"/>
        <w:shd w:val="clear" w:color="auto" w:fill="FFFFFF"/>
        <w:kinsoku/>
        <w:wordWrap/>
        <w:overflowPunct/>
        <w:topLinePunct w:val="0"/>
        <w:autoSpaceDE/>
        <w:autoSpaceDN/>
        <w:bidi w:val="0"/>
        <w:snapToGrid w:val="0"/>
        <w:spacing w:line="520" w:lineRule="exact"/>
        <w:ind w:firstLine="624" w:firstLineChars="200"/>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3.企业资信及履约能力评审。按照本</w:t>
      </w:r>
      <w:r>
        <w:rPr>
          <w:rFonts w:hint="eastAsia" w:ascii="宋体" w:hAnsi="宋体" w:cs="宋体"/>
          <w:color w:val="auto"/>
          <w:kern w:val="0"/>
          <w:sz w:val="32"/>
          <w:szCs w:val="32"/>
          <w:highlight w:val="none"/>
          <w:lang w:eastAsia="zh-CN"/>
        </w:rPr>
        <w:t>暂行办法</w:t>
      </w:r>
      <w:r>
        <w:rPr>
          <w:rFonts w:hint="eastAsia" w:ascii="宋体" w:hAnsi="宋体" w:eastAsia="宋体" w:cs="宋体"/>
          <w:color w:val="auto"/>
          <w:kern w:val="0"/>
          <w:sz w:val="32"/>
          <w:szCs w:val="32"/>
          <w:highlight w:val="none"/>
        </w:rPr>
        <w:t>第二十五条至第二十七条以及相关评审表格和招标文件的规定进行评审。</w:t>
      </w:r>
    </w:p>
    <w:p>
      <w:pPr>
        <w:keepNext w:val="0"/>
        <w:keepLines w:val="0"/>
        <w:pageBreakBefore w:val="0"/>
        <w:shd w:val="clear" w:color="auto" w:fill="FFFFFF"/>
        <w:kinsoku/>
        <w:wordWrap/>
        <w:overflowPunct/>
        <w:topLinePunct w:val="0"/>
        <w:autoSpaceDE/>
        <w:autoSpaceDN/>
        <w:bidi w:val="0"/>
        <w:snapToGrid w:val="0"/>
        <w:spacing w:line="520" w:lineRule="exact"/>
        <w:ind w:firstLine="624" w:firstLineChars="200"/>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4．确定进入投标报价评审的投标人。按照本</w:t>
      </w:r>
      <w:r>
        <w:rPr>
          <w:rFonts w:hint="eastAsia" w:ascii="宋体" w:hAnsi="宋体" w:cs="宋体"/>
          <w:color w:val="auto"/>
          <w:kern w:val="0"/>
          <w:sz w:val="32"/>
          <w:szCs w:val="32"/>
          <w:highlight w:val="none"/>
          <w:lang w:eastAsia="zh-CN"/>
        </w:rPr>
        <w:t>暂行办法</w:t>
      </w:r>
      <w:r>
        <w:rPr>
          <w:rFonts w:hint="eastAsia" w:ascii="宋体" w:hAnsi="宋体" w:eastAsia="宋体" w:cs="宋体"/>
          <w:color w:val="auto"/>
          <w:kern w:val="0"/>
          <w:sz w:val="32"/>
          <w:szCs w:val="32"/>
          <w:highlight w:val="none"/>
        </w:rPr>
        <w:t>第二十三条规定确定。</w:t>
      </w:r>
    </w:p>
    <w:p>
      <w:pPr>
        <w:keepNext w:val="0"/>
        <w:keepLines w:val="0"/>
        <w:pageBreakBefore w:val="0"/>
        <w:shd w:val="clear" w:color="auto" w:fill="FFFFFF"/>
        <w:kinsoku/>
        <w:wordWrap/>
        <w:overflowPunct/>
        <w:topLinePunct w:val="0"/>
        <w:autoSpaceDE/>
        <w:autoSpaceDN/>
        <w:bidi w:val="0"/>
        <w:snapToGrid w:val="0"/>
        <w:spacing w:line="520" w:lineRule="exact"/>
        <w:ind w:firstLine="624" w:firstLineChars="200"/>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5．报价评审</w:t>
      </w:r>
    </w:p>
    <w:p>
      <w:pPr>
        <w:keepNext w:val="0"/>
        <w:keepLines w:val="0"/>
        <w:pageBreakBefore w:val="0"/>
        <w:widowControl/>
        <w:shd w:val="clear" w:color="auto" w:fill="FFFFFF"/>
        <w:kinsoku/>
        <w:wordWrap/>
        <w:overflowPunct/>
        <w:topLinePunct w:val="0"/>
        <w:autoSpaceDE/>
        <w:autoSpaceDN/>
        <w:bidi w:val="0"/>
        <w:snapToGrid w:val="0"/>
        <w:spacing w:line="520" w:lineRule="exact"/>
        <w:ind w:firstLine="624" w:firstLineChars="200"/>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lang w:val="en-US" w:eastAsia="zh-CN"/>
        </w:rPr>
        <w:t>5.</w:t>
      </w:r>
      <w:r>
        <w:rPr>
          <w:rFonts w:hint="eastAsia" w:ascii="宋体" w:hAnsi="宋体" w:eastAsia="宋体" w:cs="宋体"/>
          <w:color w:val="auto"/>
          <w:kern w:val="0"/>
          <w:sz w:val="32"/>
          <w:szCs w:val="32"/>
          <w:highlight w:val="none"/>
        </w:rPr>
        <w:t>1</w:t>
      </w:r>
      <w:r>
        <w:rPr>
          <w:rFonts w:hint="eastAsia" w:ascii="宋体" w:hAnsi="宋体" w:eastAsia="宋体" w:cs="宋体"/>
          <w:color w:val="auto"/>
          <w:kern w:val="0"/>
          <w:sz w:val="32"/>
          <w:szCs w:val="32"/>
          <w:highlight w:val="none"/>
          <w:lang w:val="en-US" w:eastAsia="zh-CN"/>
        </w:rPr>
        <w:t xml:space="preserve"> </w:t>
      </w:r>
      <w:r>
        <w:rPr>
          <w:rFonts w:hint="eastAsia" w:ascii="宋体" w:hAnsi="宋体" w:eastAsia="宋体" w:cs="宋体"/>
          <w:color w:val="auto"/>
          <w:kern w:val="0"/>
          <w:sz w:val="32"/>
          <w:szCs w:val="32"/>
          <w:highlight w:val="none"/>
        </w:rPr>
        <w:t>按照本</w:t>
      </w:r>
      <w:r>
        <w:rPr>
          <w:rFonts w:hint="eastAsia" w:ascii="宋体" w:hAnsi="宋体" w:cs="宋体"/>
          <w:color w:val="auto"/>
          <w:kern w:val="0"/>
          <w:sz w:val="32"/>
          <w:szCs w:val="32"/>
          <w:highlight w:val="none"/>
          <w:lang w:eastAsia="zh-CN"/>
        </w:rPr>
        <w:t>暂行办法</w:t>
      </w:r>
      <w:r>
        <w:rPr>
          <w:rFonts w:hint="eastAsia" w:ascii="宋体" w:hAnsi="宋体" w:eastAsia="宋体" w:cs="宋体"/>
          <w:color w:val="auto"/>
          <w:kern w:val="0"/>
          <w:sz w:val="32"/>
          <w:szCs w:val="32"/>
          <w:highlight w:val="none"/>
        </w:rPr>
        <w:t>第三十条至第三十二条的规定进行评审，对报价低于成本的投标人予以否决。</w:t>
      </w:r>
    </w:p>
    <w:p>
      <w:pPr>
        <w:keepNext w:val="0"/>
        <w:keepLines w:val="0"/>
        <w:pageBreakBefore w:val="0"/>
        <w:widowControl/>
        <w:shd w:val="clear" w:color="auto" w:fill="FFFFFF"/>
        <w:kinsoku/>
        <w:wordWrap/>
        <w:overflowPunct/>
        <w:topLinePunct w:val="0"/>
        <w:autoSpaceDE/>
        <w:autoSpaceDN/>
        <w:bidi w:val="0"/>
        <w:snapToGrid w:val="0"/>
        <w:spacing w:line="520" w:lineRule="exact"/>
        <w:ind w:firstLine="624" w:firstLineChars="200"/>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lang w:val="en-US" w:eastAsia="zh-CN"/>
        </w:rPr>
        <w:t>5.</w:t>
      </w:r>
      <w:r>
        <w:rPr>
          <w:rFonts w:hint="eastAsia" w:ascii="宋体" w:hAnsi="宋体" w:eastAsia="宋体" w:cs="宋体"/>
          <w:color w:val="auto"/>
          <w:kern w:val="0"/>
          <w:sz w:val="32"/>
          <w:szCs w:val="32"/>
          <w:highlight w:val="none"/>
        </w:rPr>
        <w:t>2</w:t>
      </w:r>
      <w:r>
        <w:rPr>
          <w:rFonts w:hint="eastAsia" w:ascii="宋体" w:hAnsi="宋体" w:eastAsia="宋体" w:cs="宋体"/>
          <w:color w:val="auto"/>
          <w:kern w:val="0"/>
          <w:sz w:val="32"/>
          <w:szCs w:val="32"/>
          <w:highlight w:val="none"/>
          <w:lang w:val="en-US" w:eastAsia="zh-CN"/>
        </w:rPr>
        <w:t xml:space="preserve"> </w:t>
      </w:r>
      <w:r>
        <w:rPr>
          <w:rFonts w:hint="eastAsia" w:ascii="宋体" w:hAnsi="宋体" w:eastAsia="宋体" w:cs="宋体"/>
          <w:color w:val="auto"/>
          <w:kern w:val="0"/>
          <w:sz w:val="32"/>
          <w:szCs w:val="32"/>
          <w:highlight w:val="none"/>
        </w:rPr>
        <w:t>按照附表4计算本次报价评审基准价。</w:t>
      </w:r>
    </w:p>
    <w:p>
      <w:pPr>
        <w:keepNext w:val="0"/>
        <w:keepLines w:val="0"/>
        <w:pageBreakBefore w:val="0"/>
        <w:widowControl/>
        <w:shd w:val="clear" w:color="auto" w:fill="FFFFFF"/>
        <w:kinsoku/>
        <w:wordWrap/>
        <w:overflowPunct/>
        <w:topLinePunct w:val="0"/>
        <w:autoSpaceDE/>
        <w:autoSpaceDN/>
        <w:bidi w:val="0"/>
        <w:snapToGrid w:val="0"/>
        <w:spacing w:line="520" w:lineRule="exact"/>
        <w:ind w:firstLine="624" w:firstLineChars="200"/>
        <w:textAlignment w:val="auto"/>
        <w:rPr>
          <w:rFonts w:hint="eastAsia" w:ascii="宋体" w:hAnsi="宋体" w:eastAsia="宋体" w:cs="宋体"/>
          <w:color w:val="auto"/>
          <w:kern w:val="0"/>
          <w:sz w:val="32"/>
          <w:szCs w:val="32"/>
          <w:highlight w:val="none"/>
          <w:lang w:eastAsia="zh-CN"/>
        </w:rPr>
      </w:pPr>
      <w:r>
        <w:rPr>
          <w:rFonts w:hint="eastAsia" w:ascii="宋体" w:hAnsi="宋体" w:eastAsia="宋体" w:cs="宋体"/>
          <w:color w:val="auto"/>
          <w:sz w:val="32"/>
          <w:szCs w:val="32"/>
          <w:highlight w:val="none"/>
          <w:lang w:val="en-US" w:eastAsia="zh-CN"/>
        </w:rPr>
        <w:t>5.3 计算</w:t>
      </w:r>
      <w:r>
        <w:rPr>
          <w:rFonts w:hint="eastAsia" w:ascii="宋体" w:hAnsi="宋体" w:eastAsia="宋体" w:cs="宋体"/>
          <w:color w:val="auto"/>
          <w:kern w:val="0"/>
          <w:sz w:val="32"/>
          <w:szCs w:val="32"/>
          <w:highlight w:val="none"/>
        </w:rPr>
        <w:t>各投标人投标报价得分</w:t>
      </w:r>
      <w:r>
        <w:rPr>
          <w:rFonts w:hint="eastAsia" w:ascii="宋体" w:hAnsi="宋体" w:eastAsia="宋体" w:cs="宋体"/>
          <w:color w:val="auto"/>
          <w:kern w:val="0"/>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snapToGrid w:val="0"/>
        <w:spacing w:line="520" w:lineRule="exact"/>
        <w:ind w:firstLine="624"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投标报价小于基准价92%的，其投标报价评审得分计0分</w:t>
      </w:r>
      <w:r>
        <w:rPr>
          <w:rFonts w:hint="eastAsia" w:ascii="宋体" w:hAnsi="宋体" w:eastAsia="宋体" w:cs="宋体"/>
          <w:color w:val="auto"/>
          <w:kern w:val="0"/>
          <w:sz w:val="32"/>
          <w:szCs w:val="32"/>
          <w:highlight w:val="none"/>
          <w:lang w:eastAsia="zh-CN"/>
        </w:rPr>
        <w:t>。</w:t>
      </w:r>
    </w:p>
    <w:p>
      <w:pPr>
        <w:keepNext w:val="0"/>
        <w:keepLines w:val="0"/>
        <w:pageBreakBefore w:val="0"/>
        <w:shd w:val="clear" w:color="auto" w:fill="FFFFFF"/>
        <w:kinsoku/>
        <w:wordWrap/>
        <w:overflowPunct/>
        <w:topLinePunct w:val="0"/>
        <w:autoSpaceDE/>
        <w:autoSpaceDN/>
        <w:bidi w:val="0"/>
        <w:snapToGrid w:val="0"/>
        <w:spacing w:line="520" w:lineRule="exact"/>
        <w:ind w:firstLine="624" w:firstLineChars="200"/>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6．汇总评分结果。</w:t>
      </w:r>
    </w:p>
    <w:p>
      <w:pPr>
        <w:keepNext w:val="0"/>
        <w:keepLines w:val="0"/>
        <w:pageBreakBefore w:val="0"/>
        <w:shd w:val="clear" w:color="auto" w:fill="FFFFFF"/>
        <w:kinsoku/>
        <w:wordWrap/>
        <w:overflowPunct/>
        <w:topLinePunct w:val="0"/>
        <w:autoSpaceDE/>
        <w:autoSpaceDN/>
        <w:bidi w:val="0"/>
        <w:snapToGrid w:val="0"/>
        <w:spacing w:line="520" w:lineRule="exact"/>
        <w:ind w:firstLine="624" w:firstLineChars="200"/>
        <w:textAlignment w:val="auto"/>
        <w:rPr>
          <w:rFonts w:hint="eastAsia" w:ascii="宋体" w:hAnsi="宋体" w:eastAsia="宋体" w:cs="宋体"/>
          <w:color w:val="auto"/>
          <w:kern w:val="0"/>
          <w:sz w:val="32"/>
          <w:szCs w:val="32"/>
          <w:highlight w:val="none"/>
        </w:rPr>
      </w:pPr>
      <w:r>
        <w:rPr>
          <w:rFonts w:hint="eastAsia" w:ascii="宋体" w:hAnsi="宋体" w:eastAsia="宋体" w:cs="宋体"/>
          <w:bCs/>
          <w:color w:val="auto"/>
          <w:kern w:val="0"/>
          <w:sz w:val="32"/>
          <w:szCs w:val="32"/>
          <w:highlight w:val="none"/>
        </w:rPr>
        <w:t>C=J</w:t>
      </w:r>
      <w:r>
        <w:rPr>
          <w:rFonts w:hint="eastAsia" w:ascii="宋体" w:hAnsi="宋体" w:eastAsia="宋体" w:cs="宋体"/>
          <w:bCs/>
          <w:color w:val="auto"/>
          <w:kern w:val="0"/>
          <w:sz w:val="32"/>
          <w:szCs w:val="32"/>
          <w:highlight w:val="none"/>
          <w:vertAlign w:val="subscript"/>
        </w:rPr>
        <w:t>1</w:t>
      </w:r>
      <w:r>
        <w:rPr>
          <w:rFonts w:hint="eastAsia" w:ascii="宋体" w:hAnsi="宋体" w:eastAsia="宋体" w:cs="宋体"/>
          <w:bCs/>
          <w:color w:val="auto"/>
          <w:kern w:val="0"/>
          <w:sz w:val="32"/>
          <w:szCs w:val="32"/>
          <w:highlight w:val="none"/>
        </w:rPr>
        <w:t>×D+J</w:t>
      </w:r>
      <w:r>
        <w:rPr>
          <w:rFonts w:hint="eastAsia" w:ascii="宋体" w:hAnsi="宋体" w:eastAsia="宋体" w:cs="宋体"/>
          <w:bCs/>
          <w:color w:val="auto"/>
          <w:kern w:val="0"/>
          <w:sz w:val="32"/>
          <w:szCs w:val="32"/>
          <w:highlight w:val="none"/>
          <w:vertAlign w:val="subscript"/>
        </w:rPr>
        <w:t>2</w:t>
      </w:r>
      <w:r>
        <w:rPr>
          <w:rFonts w:hint="eastAsia" w:ascii="宋体" w:hAnsi="宋体" w:eastAsia="宋体" w:cs="宋体"/>
          <w:bCs/>
          <w:color w:val="auto"/>
          <w:kern w:val="0"/>
          <w:sz w:val="32"/>
          <w:szCs w:val="32"/>
          <w:highlight w:val="none"/>
        </w:rPr>
        <w:t>×E+J</w:t>
      </w:r>
      <w:r>
        <w:rPr>
          <w:rFonts w:hint="eastAsia" w:ascii="宋体" w:hAnsi="宋体" w:eastAsia="宋体" w:cs="宋体"/>
          <w:bCs/>
          <w:color w:val="auto"/>
          <w:kern w:val="0"/>
          <w:sz w:val="32"/>
          <w:szCs w:val="32"/>
          <w:highlight w:val="none"/>
          <w:vertAlign w:val="subscript"/>
        </w:rPr>
        <w:t>3</w:t>
      </w:r>
      <w:r>
        <w:rPr>
          <w:rFonts w:hint="eastAsia" w:ascii="宋体" w:hAnsi="宋体" w:eastAsia="宋体" w:cs="宋体"/>
          <w:bCs/>
          <w:color w:val="auto"/>
          <w:kern w:val="0"/>
          <w:sz w:val="32"/>
          <w:szCs w:val="32"/>
          <w:highlight w:val="none"/>
        </w:rPr>
        <w:t>×F</w:t>
      </w:r>
      <w:r>
        <w:rPr>
          <w:rFonts w:hint="eastAsia" w:ascii="宋体" w:hAnsi="宋体" w:eastAsia="宋体" w:cs="宋体"/>
          <w:i/>
          <w:iCs/>
          <w:color w:val="auto"/>
          <w:kern w:val="0"/>
          <w:sz w:val="32"/>
          <w:szCs w:val="32"/>
          <w:highlight w:val="none"/>
        </w:rPr>
        <w:t xml:space="preserve"> </w:t>
      </w:r>
    </w:p>
    <w:p>
      <w:pPr>
        <w:keepNext w:val="0"/>
        <w:keepLines w:val="0"/>
        <w:pageBreakBefore w:val="0"/>
        <w:shd w:val="clear" w:color="auto" w:fill="FFFFFF"/>
        <w:kinsoku/>
        <w:wordWrap/>
        <w:overflowPunct/>
        <w:topLinePunct w:val="0"/>
        <w:autoSpaceDE/>
        <w:autoSpaceDN/>
        <w:bidi w:val="0"/>
        <w:snapToGrid w:val="0"/>
        <w:spacing w:line="520" w:lineRule="exact"/>
        <w:ind w:firstLine="624" w:firstLineChars="200"/>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其中:C——评标总得分</w:t>
      </w:r>
      <w:r>
        <w:rPr>
          <w:rFonts w:hint="eastAsia" w:ascii="宋体" w:hAnsi="宋体" w:eastAsia="宋体" w:cs="宋体"/>
          <w:color w:val="auto"/>
          <w:sz w:val="32"/>
          <w:szCs w:val="32"/>
          <w:highlight w:val="none"/>
        </w:rPr>
        <w:t>；</w:t>
      </w:r>
    </w:p>
    <w:p>
      <w:pPr>
        <w:keepNext w:val="0"/>
        <w:keepLines w:val="0"/>
        <w:pageBreakBefore w:val="0"/>
        <w:shd w:val="clear" w:color="auto" w:fill="FFFFFF"/>
        <w:kinsoku/>
        <w:wordWrap/>
        <w:overflowPunct/>
        <w:topLinePunct w:val="0"/>
        <w:autoSpaceDE/>
        <w:autoSpaceDN/>
        <w:bidi w:val="0"/>
        <w:snapToGrid w:val="0"/>
        <w:spacing w:line="520" w:lineRule="exact"/>
        <w:ind w:firstLine="624" w:firstLineChars="200"/>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D——技术方案评审得分</w:t>
      </w:r>
      <w:r>
        <w:rPr>
          <w:rFonts w:hint="eastAsia" w:ascii="宋体" w:hAnsi="宋体" w:eastAsia="宋体" w:cs="宋体"/>
          <w:color w:val="auto"/>
          <w:sz w:val="32"/>
          <w:szCs w:val="32"/>
          <w:highlight w:val="none"/>
        </w:rPr>
        <w:t>；</w:t>
      </w:r>
    </w:p>
    <w:p>
      <w:pPr>
        <w:keepNext w:val="0"/>
        <w:keepLines w:val="0"/>
        <w:pageBreakBefore w:val="0"/>
        <w:shd w:val="clear" w:color="auto" w:fill="FFFFFF"/>
        <w:kinsoku/>
        <w:wordWrap/>
        <w:overflowPunct/>
        <w:topLinePunct w:val="0"/>
        <w:autoSpaceDE/>
        <w:autoSpaceDN/>
        <w:bidi w:val="0"/>
        <w:snapToGrid w:val="0"/>
        <w:spacing w:line="520" w:lineRule="exact"/>
        <w:ind w:firstLine="624" w:firstLineChars="200"/>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E——企业资信及履约能力评审</w:t>
      </w:r>
      <w:r>
        <w:rPr>
          <w:rFonts w:hint="eastAsia" w:ascii="宋体" w:hAnsi="宋体" w:eastAsia="宋体" w:cs="宋体"/>
          <w:color w:val="auto"/>
          <w:sz w:val="32"/>
          <w:szCs w:val="32"/>
          <w:highlight w:val="none"/>
        </w:rPr>
        <w:t>得分；</w:t>
      </w:r>
    </w:p>
    <w:p>
      <w:pPr>
        <w:keepNext w:val="0"/>
        <w:keepLines w:val="0"/>
        <w:pageBreakBefore w:val="0"/>
        <w:shd w:val="clear" w:color="auto" w:fill="FFFFFF"/>
        <w:kinsoku/>
        <w:wordWrap/>
        <w:overflowPunct/>
        <w:topLinePunct w:val="0"/>
        <w:autoSpaceDE/>
        <w:autoSpaceDN/>
        <w:bidi w:val="0"/>
        <w:snapToGrid w:val="0"/>
        <w:spacing w:line="520" w:lineRule="exact"/>
        <w:ind w:firstLine="624" w:firstLineChars="200"/>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kern w:val="0"/>
          <w:sz w:val="32"/>
          <w:szCs w:val="32"/>
          <w:highlight w:val="none"/>
        </w:rPr>
        <w:t>F——</w:t>
      </w:r>
      <w:r>
        <w:rPr>
          <w:rFonts w:hint="eastAsia" w:ascii="宋体" w:hAnsi="宋体" w:eastAsia="宋体" w:cs="宋体"/>
          <w:color w:val="auto"/>
          <w:sz w:val="32"/>
          <w:szCs w:val="32"/>
          <w:highlight w:val="none"/>
        </w:rPr>
        <w:t>投标报价评审得分</w:t>
      </w:r>
      <w:r>
        <w:rPr>
          <w:rFonts w:hint="eastAsia" w:ascii="宋体" w:hAnsi="宋体" w:eastAsia="宋体" w:cs="宋体"/>
          <w:color w:val="auto"/>
          <w:sz w:val="32"/>
          <w:szCs w:val="32"/>
          <w:highlight w:val="none"/>
          <w:lang w:eastAsia="zh-CN"/>
        </w:rPr>
        <w:t>；</w:t>
      </w:r>
    </w:p>
    <w:p>
      <w:pPr>
        <w:keepNext w:val="0"/>
        <w:keepLines w:val="0"/>
        <w:pageBreakBefore w:val="0"/>
        <w:shd w:val="clear" w:color="auto" w:fill="FFFFFF"/>
        <w:kinsoku/>
        <w:wordWrap/>
        <w:overflowPunct/>
        <w:topLinePunct w:val="0"/>
        <w:autoSpaceDE/>
        <w:autoSpaceDN/>
        <w:bidi w:val="0"/>
        <w:snapToGrid w:val="0"/>
        <w:spacing w:line="520" w:lineRule="exact"/>
        <w:ind w:firstLine="624" w:firstLineChars="200"/>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J</w:t>
      </w:r>
      <w:r>
        <w:rPr>
          <w:rFonts w:hint="eastAsia" w:ascii="宋体" w:hAnsi="宋体" w:eastAsia="宋体" w:cs="宋体"/>
          <w:bCs/>
          <w:color w:val="auto"/>
          <w:kern w:val="0"/>
          <w:sz w:val="32"/>
          <w:szCs w:val="32"/>
          <w:highlight w:val="none"/>
          <w:vertAlign w:val="subscript"/>
        </w:rPr>
        <w:t>1</w:t>
      </w:r>
      <w:r>
        <w:rPr>
          <w:rFonts w:hint="eastAsia" w:ascii="宋体" w:hAnsi="宋体" w:eastAsia="宋体" w:cs="宋体"/>
          <w:color w:val="auto"/>
          <w:sz w:val="32"/>
          <w:szCs w:val="32"/>
          <w:highlight w:val="none"/>
        </w:rPr>
        <w:t>、J</w:t>
      </w:r>
      <w:r>
        <w:rPr>
          <w:rFonts w:hint="eastAsia" w:ascii="宋体" w:hAnsi="宋体" w:eastAsia="宋体" w:cs="宋体"/>
          <w:bCs/>
          <w:color w:val="auto"/>
          <w:kern w:val="0"/>
          <w:sz w:val="32"/>
          <w:szCs w:val="32"/>
          <w:highlight w:val="none"/>
          <w:vertAlign w:val="subscript"/>
        </w:rPr>
        <w:t>2</w:t>
      </w:r>
      <w:r>
        <w:rPr>
          <w:rFonts w:hint="eastAsia" w:ascii="宋体" w:hAnsi="宋体" w:eastAsia="宋体" w:cs="宋体"/>
          <w:color w:val="auto"/>
          <w:sz w:val="32"/>
          <w:szCs w:val="32"/>
          <w:highlight w:val="none"/>
        </w:rPr>
        <w:t>、J</w:t>
      </w:r>
      <w:r>
        <w:rPr>
          <w:rFonts w:hint="eastAsia" w:ascii="宋体" w:hAnsi="宋体" w:eastAsia="宋体" w:cs="宋体"/>
          <w:bCs/>
          <w:color w:val="auto"/>
          <w:kern w:val="0"/>
          <w:sz w:val="32"/>
          <w:szCs w:val="32"/>
          <w:highlight w:val="none"/>
          <w:vertAlign w:val="subscript"/>
        </w:rPr>
        <w:t>3</w:t>
      </w:r>
      <w:r>
        <w:rPr>
          <w:rFonts w:hint="eastAsia" w:ascii="宋体" w:hAnsi="宋体" w:eastAsia="宋体" w:cs="宋体"/>
          <w:color w:val="auto"/>
          <w:sz w:val="32"/>
          <w:szCs w:val="32"/>
          <w:highlight w:val="none"/>
        </w:rPr>
        <w:t>——各项评审因素的权重</w:t>
      </w:r>
      <w:r>
        <w:rPr>
          <w:rFonts w:hint="eastAsia" w:ascii="宋体" w:hAnsi="宋体" w:eastAsia="宋体" w:cs="宋体"/>
          <w:color w:val="auto"/>
          <w:sz w:val="32"/>
          <w:szCs w:val="32"/>
          <w:highlight w:val="none"/>
          <w:lang w:eastAsia="zh-CN"/>
        </w:rPr>
        <w:t>。</w:t>
      </w:r>
    </w:p>
    <w:p>
      <w:pPr>
        <w:keepNext w:val="0"/>
        <w:keepLines w:val="0"/>
        <w:pageBreakBefore w:val="0"/>
        <w:shd w:val="clear" w:color="auto" w:fill="FFFFFF"/>
        <w:kinsoku/>
        <w:wordWrap/>
        <w:overflowPunct/>
        <w:topLinePunct w:val="0"/>
        <w:autoSpaceDE/>
        <w:autoSpaceDN/>
        <w:bidi w:val="0"/>
        <w:snapToGrid w:val="0"/>
        <w:spacing w:line="520" w:lineRule="exact"/>
        <w:ind w:firstLine="624" w:firstLineChars="200"/>
        <w:textAlignment w:val="auto"/>
        <w:rPr>
          <w:rFonts w:ascii="黑体" w:hAnsi="黑体" w:eastAsia="黑体"/>
          <w:bCs/>
          <w:color w:val="auto"/>
          <w:kern w:val="0"/>
          <w:sz w:val="32"/>
          <w:szCs w:val="32"/>
          <w:highlight w:val="none"/>
        </w:rPr>
      </w:pPr>
      <w:r>
        <w:rPr>
          <w:rFonts w:hint="eastAsia" w:ascii="黑体" w:hAnsi="黑体" w:eastAsia="黑体"/>
          <w:bCs/>
          <w:color w:val="auto"/>
          <w:kern w:val="0"/>
          <w:sz w:val="32"/>
          <w:szCs w:val="32"/>
          <w:highlight w:val="none"/>
          <w:lang w:val="en-US" w:eastAsia="zh-CN"/>
        </w:rPr>
        <w:t>二</w:t>
      </w:r>
      <w:r>
        <w:rPr>
          <w:rFonts w:hint="eastAsia" w:ascii="黑体" w:hAnsi="黑体" w:eastAsia="黑体"/>
          <w:bCs/>
          <w:color w:val="auto"/>
          <w:kern w:val="0"/>
          <w:sz w:val="32"/>
          <w:szCs w:val="32"/>
          <w:highlight w:val="none"/>
        </w:rPr>
        <w:t>、</w:t>
      </w:r>
      <w:r>
        <w:rPr>
          <w:rFonts w:ascii="黑体" w:hAnsi="黑体" w:eastAsia="黑体"/>
          <w:bCs/>
          <w:color w:val="auto"/>
          <w:kern w:val="0"/>
          <w:sz w:val="32"/>
          <w:szCs w:val="32"/>
          <w:highlight w:val="none"/>
        </w:rPr>
        <w:t>各项评审因素权重</w:t>
      </w:r>
    </w:p>
    <w:p>
      <w:pPr>
        <w:keepNext w:val="0"/>
        <w:keepLines w:val="0"/>
        <w:pageBreakBefore w:val="0"/>
        <w:shd w:val="clear" w:color="auto" w:fill="FFFFFF"/>
        <w:kinsoku/>
        <w:wordWrap/>
        <w:overflowPunct/>
        <w:topLinePunct w:val="0"/>
        <w:autoSpaceDE/>
        <w:autoSpaceDN/>
        <w:bidi w:val="0"/>
        <w:adjustRightInd w:val="0"/>
        <w:snapToGrid w:val="0"/>
        <w:spacing w:line="520" w:lineRule="exact"/>
        <w:ind w:firstLine="624" w:firstLineChars="200"/>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招标人根据以下评审因素权重表在招标文件中明确评审因素权</w:t>
      </w:r>
      <w:r>
        <w:rPr>
          <w:rFonts w:hint="eastAsia" w:ascii="宋体" w:hAnsi="宋体" w:eastAsia="宋体" w:cs="宋体"/>
          <w:color w:val="auto"/>
          <w:kern w:val="0"/>
          <w:sz w:val="32"/>
          <w:highlight w:val="none"/>
        </w:rPr>
        <w:t>重</w:t>
      </w:r>
      <w:r>
        <w:rPr>
          <w:rFonts w:hint="eastAsia" w:ascii="宋体" w:hAnsi="宋体" w:eastAsia="宋体" w:cs="宋体"/>
          <w:color w:val="auto"/>
          <w:kern w:val="0"/>
          <w:sz w:val="32"/>
          <w:szCs w:val="32"/>
          <w:highlight w:val="none"/>
        </w:rPr>
        <w:t>。</w:t>
      </w:r>
    </w:p>
    <w:p>
      <w:pPr>
        <w:keepNext w:val="0"/>
        <w:keepLines w:val="0"/>
        <w:pageBreakBefore w:val="0"/>
        <w:widowControl/>
        <w:shd w:val="clear" w:color="auto" w:fill="FFFFFF"/>
        <w:kinsoku/>
        <w:wordWrap/>
        <w:overflowPunct/>
        <w:topLinePunct w:val="0"/>
        <w:autoSpaceDE/>
        <w:autoSpaceDN/>
        <w:bidi w:val="0"/>
        <w:snapToGrid w:val="0"/>
        <w:spacing w:line="520" w:lineRule="exact"/>
        <w:jc w:val="center"/>
        <w:textAlignment w:val="auto"/>
        <w:rPr>
          <w:rFonts w:hint="eastAsia" w:ascii="宋体" w:hAnsi="宋体" w:eastAsia="宋体" w:cs="宋体"/>
          <w:color w:val="auto"/>
          <w:kern w:val="0"/>
          <w:sz w:val="32"/>
          <w:highlight w:val="none"/>
        </w:rPr>
      </w:pPr>
      <w:r>
        <w:rPr>
          <w:rFonts w:hint="eastAsia" w:ascii="宋体" w:hAnsi="宋体" w:eastAsia="宋体" w:cs="宋体"/>
          <w:color w:val="auto"/>
          <w:kern w:val="0"/>
          <w:sz w:val="32"/>
          <w:highlight w:val="none"/>
        </w:rPr>
        <w:t>附表：评审因素权重</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4404"/>
        <w:gridCol w:w="27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3" w:hRule="atLeast"/>
          <w:jc w:val="center"/>
        </w:trPr>
        <w:tc>
          <w:tcPr>
            <w:tcW w:w="1187" w:type="dxa"/>
            <w:tcBorders>
              <w:left w:val="nil"/>
            </w:tcBorders>
            <w:vAlign w:val="center"/>
          </w:tcPr>
          <w:p>
            <w:pPr>
              <w:widowControl/>
              <w:spacing w:line="320" w:lineRule="exact"/>
              <w:jc w:val="center"/>
              <w:rPr>
                <w:rFonts w:hint="eastAsia" w:ascii="宋体" w:hAnsi="宋体" w:eastAsia="宋体" w:cs="宋体"/>
                <w:color w:val="auto"/>
                <w:kern w:val="0"/>
                <w:sz w:val="32"/>
                <w:highlight w:val="none"/>
              </w:rPr>
            </w:pPr>
            <w:r>
              <w:rPr>
                <w:rFonts w:hint="eastAsia" w:ascii="宋体" w:hAnsi="宋体" w:eastAsia="宋体" w:cs="宋体"/>
                <w:color w:val="auto"/>
                <w:kern w:val="0"/>
                <w:sz w:val="32"/>
                <w:highlight w:val="none"/>
              </w:rPr>
              <w:t>序号</w:t>
            </w:r>
          </w:p>
        </w:tc>
        <w:tc>
          <w:tcPr>
            <w:tcW w:w="4404" w:type="dxa"/>
            <w:vAlign w:val="center"/>
          </w:tcPr>
          <w:p>
            <w:pPr>
              <w:widowControl/>
              <w:spacing w:line="320" w:lineRule="exact"/>
              <w:jc w:val="center"/>
              <w:rPr>
                <w:rFonts w:hint="eastAsia" w:ascii="宋体" w:hAnsi="宋体" w:eastAsia="宋体" w:cs="宋体"/>
                <w:color w:val="auto"/>
                <w:kern w:val="0"/>
                <w:sz w:val="32"/>
                <w:highlight w:val="none"/>
              </w:rPr>
            </w:pPr>
            <w:r>
              <w:rPr>
                <w:rFonts w:hint="eastAsia" w:ascii="宋体" w:hAnsi="宋体" w:eastAsia="宋体" w:cs="宋体"/>
                <w:color w:val="auto"/>
                <w:kern w:val="0"/>
                <w:sz w:val="32"/>
                <w:highlight w:val="none"/>
              </w:rPr>
              <w:t>评审因素</w:t>
            </w:r>
          </w:p>
        </w:tc>
        <w:tc>
          <w:tcPr>
            <w:tcW w:w="2768" w:type="dxa"/>
            <w:tcBorders>
              <w:right w:val="nil"/>
            </w:tcBorders>
            <w:vAlign w:val="center"/>
          </w:tcPr>
          <w:p>
            <w:pPr>
              <w:widowControl/>
              <w:spacing w:line="320" w:lineRule="exact"/>
              <w:jc w:val="center"/>
              <w:rPr>
                <w:rFonts w:hint="eastAsia" w:ascii="宋体" w:hAnsi="宋体" w:eastAsia="宋体" w:cs="宋体"/>
                <w:color w:val="auto"/>
                <w:kern w:val="0"/>
                <w:sz w:val="32"/>
                <w:highlight w:val="none"/>
              </w:rPr>
            </w:pPr>
            <w:r>
              <w:rPr>
                <w:rFonts w:hint="eastAsia" w:ascii="宋体" w:hAnsi="宋体" w:eastAsia="宋体" w:cs="宋体"/>
                <w:color w:val="auto"/>
                <w:kern w:val="0"/>
                <w:sz w:val="32"/>
                <w:highlight w:val="none"/>
              </w:rPr>
              <w:t>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5" w:hRule="exact"/>
          <w:jc w:val="center"/>
        </w:trPr>
        <w:tc>
          <w:tcPr>
            <w:tcW w:w="1187" w:type="dxa"/>
            <w:tcBorders>
              <w:left w:val="nil"/>
            </w:tcBorders>
            <w:vAlign w:val="center"/>
          </w:tcPr>
          <w:p>
            <w:pPr>
              <w:spacing w:line="32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1</w:t>
            </w:r>
          </w:p>
        </w:tc>
        <w:tc>
          <w:tcPr>
            <w:tcW w:w="4404" w:type="dxa"/>
            <w:vAlign w:val="center"/>
          </w:tcPr>
          <w:p>
            <w:pPr>
              <w:spacing w:line="32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技术方案</w:t>
            </w:r>
            <w:r>
              <w:rPr>
                <w:rFonts w:hint="eastAsia" w:ascii="宋体" w:hAnsi="宋体" w:eastAsia="宋体" w:cs="宋体"/>
                <w:iCs/>
                <w:color w:val="auto"/>
                <w:kern w:val="0"/>
                <w:sz w:val="32"/>
                <w:highlight w:val="none"/>
              </w:rPr>
              <w:t>J</w:t>
            </w:r>
            <w:r>
              <w:rPr>
                <w:rFonts w:hint="eastAsia" w:ascii="宋体" w:hAnsi="宋体" w:eastAsia="宋体" w:cs="宋体"/>
                <w:color w:val="auto"/>
                <w:kern w:val="0"/>
                <w:sz w:val="32"/>
                <w:highlight w:val="none"/>
                <w:vertAlign w:val="subscript"/>
              </w:rPr>
              <w:t>1</w:t>
            </w:r>
          </w:p>
        </w:tc>
        <w:tc>
          <w:tcPr>
            <w:tcW w:w="2768" w:type="dxa"/>
            <w:tcBorders>
              <w:right w:val="nil"/>
            </w:tcBorders>
            <w:vAlign w:val="center"/>
          </w:tcPr>
          <w:p>
            <w:pPr>
              <w:spacing w:line="32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0.00～0.30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exact"/>
          <w:jc w:val="center"/>
        </w:trPr>
        <w:tc>
          <w:tcPr>
            <w:tcW w:w="1187" w:type="dxa"/>
            <w:tcBorders>
              <w:left w:val="nil"/>
            </w:tcBorders>
            <w:vAlign w:val="center"/>
          </w:tcPr>
          <w:p>
            <w:pPr>
              <w:spacing w:line="32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2</w:t>
            </w:r>
          </w:p>
        </w:tc>
        <w:tc>
          <w:tcPr>
            <w:tcW w:w="4404" w:type="dxa"/>
            <w:vAlign w:val="center"/>
          </w:tcPr>
          <w:p>
            <w:pPr>
              <w:spacing w:line="32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企业资信及履约能力</w:t>
            </w:r>
            <w:r>
              <w:rPr>
                <w:rFonts w:hint="eastAsia" w:ascii="宋体" w:hAnsi="宋体" w:eastAsia="宋体" w:cs="宋体"/>
                <w:iCs/>
                <w:color w:val="auto"/>
                <w:kern w:val="0"/>
                <w:sz w:val="32"/>
                <w:highlight w:val="none"/>
              </w:rPr>
              <w:t>J</w:t>
            </w:r>
            <w:r>
              <w:rPr>
                <w:rFonts w:hint="eastAsia" w:ascii="宋体" w:hAnsi="宋体" w:eastAsia="宋体" w:cs="宋体"/>
                <w:color w:val="auto"/>
                <w:kern w:val="0"/>
                <w:sz w:val="32"/>
                <w:highlight w:val="none"/>
                <w:vertAlign w:val="subscript"/>
              </w:rPr>
              <w:t>2</w:t>
            </w:r>
          </w:p>
        </w:tc>
        <w:tc>
          <w:tcPr>
            <w:tcW w:w="2768" w:type="dxa"/>
            <w:tcBorders>
              <w:right w:val="nil"/>
            </w:tcBorders>
            <w:vAlign w:val="center"/>
          </w:tcPr>
          <w:p>
            <w:pPr>
              <w:spacing w:line="32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0.35～0.45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exact"/>
          <w:jc w:val="center"/>
        </w:trPr>
        <w:tc>
          <w:tcPr>
            <w:tcW w:w="1187" w:type="dxa"/>
            <w:tcBorders>
              <w:left w:val="nil"/>
            </w:tcBorders>
            <w:vAlign w:val="center"/>
          </w:tcPr>
          <w:p>
            <w:pPr>
              <w:spacing w:line="32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3</w:t>
            </w:r>
          </w:p>
        </w:tc>
        <w:tc>
          <w:tcPr>
            <w:tcW w:w="4404" w:type="dxa"/>
            <w:vAlign w:val="center"/>
          </w:tcPr>
          <w:p>
            <w:pPr>
              <w:spacing w:line="320" w:lineRule="exact"/>
              <w:jc w:val="center"/>
              <w:rPr>
                <w:rFonts w:hint="eastAsia" w:ascii="宋体" w:hAnsi="宋体" w:eastAsia="宋体" w:cs="宋体"/>
                <w:color w:val="auto"/>
                <w:sz w:val="32"/>
                <w:highlight w:val="none"/>
              </w:rPr>
            </w:pPr>
            <w:r>
              <w:rPr>
                <w:rFonts w:hint="eastAsia" w:ascii="宋体" w:hAnsi="宋体" w:eastAsia="宋体" w:cs="宋体"/>
                <w:color w:val="auto"/>
                <w:kern w:val="0"/>
                <w:sz w:val="32"/>
                <w:highlight w:val="none"/>
              </w:rPr>
              <w:t>投标报价</w:t>
            </w:r>
            <w:r>
              <w:rPr>
                <w:rFonts w:hint="eastAsia" w:ascii="宋体" w:hAnsi="宋体" w:eastAsia="宋体" w:cs="宋体"/>
                <w:iCs/>
                <w:color w:val="auto"/>
                <w:kern w:val="0"/>
                <w:sz w:val="32"/>
                <w:highlight w:val="none"/>
              </w:rPr>
              <w:t>J</w:t>
            </w:r>
            <w:r>
              <w:rPr>
                <w:rFonts w:hint="eastAsia" w:ascii="宋体" w:hAnsi="宋体" w:eastAsia="宋体" w:cs="宋体"/>
                <w:color w:val="auto"/>
                <w:kern w:val="0"/>
                <w:sz w:val="32"/>
                <w:highlight w:val="none"/>
                <w:vertAlign w:val="subscript"/>
              </w:rPr>
              <w:t>3</w:t>
            </w:r>
          </w:p>
        </w:tc>
        <w:tc>
          <w:tcPr>
            <w:tcW w:w="2768" w:type="dxa"/>
            <w:tcBorders>
              <w:right w:val="nil"/>
            </w:tcBorders>
            <w:vAlign w:val="center"/>
          </w:tcPr>
          <w:p>
            <w:pPr>
              <w:spacing w:line="32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0.35～0.55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exact"/>
          <w:jc w:val="center"/>
        </w:trPr>
        <w:tc>
          <w:tcPr>
            <w:tcW w:w="5591" w:type="dxa"/>
            <w:gridSpan w:val="2"/>
            <w:tcBorders>
              <w:left w:val="nil"/>
            </w:tcBorders>
            <w:vAlign w:val="center"/>
          </w:tcPr>
          <w:p>
            <w:pPr>
              <w:spacing w:line="320" w:lineRule="exact"/>
              <w:jc w:val="center"/>
              <w:rPr>
                <w:rFonts w:hint="eastAsia" w:ascii="宋体" w:hAnsi="宋体" w:eastAsia="宋体" w:cs="宋体"/>
                <w:color w:val="auto"/>
                <w:sz w:val="32"/>
                <w:highlight w:val="none"/>
              </w:rPr>
            </w:pPr>
            <w:r>
              <w:rPr>
                <w:rFonts w:hint="eastAsia" w:ascii="宋体" w:hAnsi="宋体" w:eastAsia="宋体" w:cs="宋体"/>
                <w:color w:val="auto"/>
                <w:kern w:val="0"/>
                <w:sz w:val="32"/>
                <w:highlight w:val="none"/>
              </w:rPr>
              <w:t>评审因素权重</w:t>
            </w:r>
            <w:r>
              <w:rPr>
                <w:rFonts w:hint="eastAsia" w:ascii="宋体" w:hAnsi="宋体" w:eastAsia="宋体" w:cs="宋体"/>
                <w:color w:val="auto"/>
                <w:sz w:val="32"/>
                <w:highlight w:val="none"/>
              </w:rPr>
              <w:t>合计</w:t>
            </w:r>
          </w:p>
        </w:tc>
        <w:tc>
          <w:tcPr>
            <w:tcW w:w="2768" w:type="dxa"/>
            <w:tcBorders>
              <w:right w:val="nil"/>
            </w:tcBorders>
            <w:vAlign w:val="center"/>
          </w:tcPr>
          <w:p>
            <w:pPr>
              <w:spacing w:line="32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1.00</w:t>
            </w:r>
          </w:p>
        </w:tc>
      </w:tr>
    </w:tbl>
    <w:p>
      <w:pPr>
        <w:keepNext w:val="0"/>
        <w:keepLines w:val="0"/>
        <w:pageBreakBefore w:val="0"/>
        <w:widowControl w:val="0"/>
        <w:shd w:val="clear" w:color="auto" w:fill="FFFFFF"/>
        <w:kinsoku/>
        <w:wordWrap/>
        <w:overflowPunct/>
        <w:topLinePunct w:val="0"/>
        <w:autoSpaceDE/>
        <w:autoSpaceDN/>
        <w:bidi w:val="0"/>
        <w:adjustRightInd/>
        <w:snapToGrid w:val="0"/>
        <w:spacing w:line="520" w:lineRule="exact"/>
        <w:ind w:firstLine="624" w:firstLineChars="200"/>
        <w:textAlignment w:val="auto"/>
        <w:rPr>
          <w:rFonts w:hint="eastAsia" w:ascii="宋体" w:hAnsi="宋体" w:eastAsia="宋体" w:cs="宋体"/>
          <w:bCs/>
          <w:color w:val="auto"/>
          <w:kern w:val="0"/>
          <w:sz w:val="32"/>
          <w:szCs w:val="32"/>
          <w:highlight w:val="none"/>
        </w:rPr>
      </w:pPr>
      <w:r>
        <w:rPr>
          <w:rFonts w:hint="eastAsia" w:ascii="宋体" w:hAnsi="宋体" w:eastAsia="宋体" w:cs="宋体"/>
          <w:bCs/>
          <w:color w:val="auto"/>
          <w:kern w:val="0"/>
          <w:sz w:val="32"/>
          <w:szCs w:val="32"/>
          <w:highlight w:val="none"/>
        </w:rPr>
        <w:t>注：技术方案采用合格性评审时，其权数取值为0。</w:t>
      </w:r>
    </w:p>
    <w:p>
      <w:pPr>
        <w:keepNext w:val="0"/>
        <w:keepLines w:val="0"/>
        <w:pageBreakBefore w:val="0"/>
        <w:widowControl w:val="0"/>
        <w:shd w:val="clear" w:color="auto" w:fill="FFFFFF"/>
        <w:kinsoku/>
        <w:wordWrap/>
        <w:overflowPunct/>
        <w:topLinePunct w:val="0"/>
        <w:autoSpaceDE/>
        <w:autoSpaceDN/>
        <w:bidi w:val="0"/>
        <w:adjustRightInd/>
        <w:snapToGrid w:val="0"/>
        <w:spacing w:line="520" w:lineRule="exact"/>
        <w:ind w:firstLine="624" w:firstLineChars="200"/>
        <w:textAlignment w:val="auto"/>
        <w:rPr>
          <w:rFonts w:ascii="黑体" w:hAnsi="黑体" w:eastAsia="黑体"/>
          <w:bCs/>
          <w:color w:val="auto"/>
          <w:kern w:val="0"/>
          <w:sz w:val="32"/>
          <w:szCs w:val="32"/>
          <w:highlight w:val="none"/>
        </w:rPr>
      </w:pPr>
      <w:r>
        <w:rPr>
          <w:rFonts w:hint="eastAsia" w:ascii="黑体" w:hAnsi="黑体" w:eastAsia="黑体"/>
          <w:bCs/>
          <w:color w:val="auto"/>
          <w:kern w:val="0"/>
          <w:sz w:val="32"/>
          <w:szCs w:val="32"/>
          <w:highlight w:val="none"/>
          <w:lang w:val="en-US" w:eastAsia="zh-CN"/>
        </w:rPr>
        <w:t>三</w:t>
      </w:r>
      <w:r>
        <w:rPr>
          <w:rFonts w:hint="eastAsia" w:ascii="黑体" w:hAnsi="黑体" w:eastAsia="黑体"/>
          <w:bCs/>
          <w:color w:val="auto"/>
          <w:kern w:val="0"/>
          <w:sz w:val="32"/>
          <w:szCs w:val="32"/>
          <w:highlight w:val="none"/>
        </w:rPr>
        <w:t>、中标候选人及中标人的确定</w:t>
      </w:r>
    </w:p>
    <w:p>
      <w:pPr>
        <w:keepNext w:val="0"/>
        <w:keepLines w:val="0"/>
        <w:pageBreakBefore w:val="0"/>
        <w:widowControl w:val="0"/>
        <w:kinsoku/>
        <w:wordWrap/>
        <w:overflowPunct/>
        <w:topLinePunct w:val="0"/>
        <w:autoSpaceDE/>
        <w:autoSpaceDN/>
        <w:bidi w:val="0"/>
        <w:adjustRightInd/>
        <w:snapToGrid w:val="0"/>
        <w:spacing w:line="520" w:lineRule="exact"/>
        <w:ind w:firstLine="624"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评标委员会按照评标总得分从高至低确定投标人排序，并按以下原则</w:t>
      </w:r>
      <w:r>
        <w:rPr>
          <w:rFonts w:hint="eastAsia" w:ascii="宋体" w:hAnsi="宋体" w:eastAsia="宋体" w:cs="宋体"/>
          <w:color w:val="auto"/>
          <w:sz w:val="32"/>
          <w:szCs w:val="32"/>
          <w:highlight w:val="none"/>
          <w:lang w:val="en-US" w:eastAsia="zh-CN"/>
        </w:rPr>
        <w:t>之一</w:t>
      </w:r>
      <w:r>
        <w:rPr>
          <w:rFonts w:hint="eastAsia" w:ascii="宋体" w:hAnsi="宋体" w:eastAsia="宋体" w:cs="宋体"/>
          <w:color w:val="auto"/>
          <w:sz w:val="32"/>
          <w:szCs w:val="32"/>
          <w:highlight w:val="none"/>
        </w:rPr>
        <w:t>推荐中标候选人，由招标人确定中标人：</w:t>
      </w:r>
    </w:p>
    <w:p>
      <w:pPr>
        <w:keepNext w:val="0"/>
        <w:keepLines w:val="0"/>
        <w:pageBreakBefore w:val="0"/>
        <w:widowControl w:val="0"/>
        <w:kinsoku/>
        <w:wordWrap/>
        <w:overflowPunct/>
        <w:topLinePunct w:val="0"/>
        <w:autoSpaceDE/>
        <w:autoSpaceDN/>
        <w:bidi w:val="0"/>
        <w:adjustRightInd/>
        <w:snapToGrid w:val="0"/>
        <w:spacing w:line="520" w:lineRule="exact"/>
        <w:ind w:firstLine="624"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 按照评标总得分从高至低推荐不超过3个有排序的中标候选人，招标人按照中标候选人的排序确定中标人。</w:t>
      </w:r>
    </w:p>
    <w:p>
      <w:pPr>
        <w:keepNext w:val="0"/>
        <w:keepLines w:val="0"/>
        <w:pageBreakBefore w:val="0"/>
        <w:widowControl w:val="0"/>
        <w:kinsoku/>
        <w:wordWrap/>
        <w:overflowPunct/>
        <w:topLinePunct w:val="0"/>
        <w:autoSpaceDE/>
        <w:autoSpaceDN/>
        <w:bidi w:val="0"/>
        <w:adjustRightInd/>
        <w:snapToGrid w:val="0"/>
        <w:spacing w:line="520" w:lineRule="exact"/>
        <w:ind w:firstLine="624"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 按照评标总得分从高至低推荐不超过3个不排序的中标候选人，由招标人确定中标人。</w:t>
      </w:r>
    </w:p>
    <w:p>
      <w:pPr>
        <w:keepNext w:val="0"/>
        <w:keepLines w:val="0"/>
        <w:pageBreakBefore w:val="0"/>
        <w:widowControl w:val="0"/>
        <w:kinsoku/>
        <w:wordWrap/>
        <w:overflowPunct/>
        <w:topLinePunct w:val="0"/>
        <w:autoSpaceDE/>
        <w:autoSpaceDN/>
        <w:bidi w:val="0"/>
        <w:adjustRightInd/>
        <w:snapToGrid w:val="0"/>
        <w:spacing w:line="520" w:lineRule="exact"/>
        <w:ind w:firstLine="624"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采用第二种方式确定中标人的，应当在招标文件中公布相应评定分离工作方案。</w:t>
      </w:r>
    </w:p>
    <w:p>
      <w:pPr>
        <w:keepNext w:val="0"/>
        <w:keepLines w:val="0"/>
        <w:pageBreakBefore w:val="0"/>
        <w:widowControl w:val="0"/>
        <w:kinsoku/>
        <w:wordWrap/>
        <w:overflowPunct/>
        <w:topLinePunct w:val="0"/>
        <w:autoSpaceDE/>
        <w:autoSpaceDN/>
        <w:bidi w:val="0"/>
        <w:adjustRightInd/>
        <w:snapToGrid w:val="0"/>
        <w:spacing w:line="520" w:lineRule="exact"/>
        <w:ind w:firstLine="624" w:firstLineChars="200"/>
        <w:textAlignment w:val="auto"/>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20" w:lineRule="exact"/>
        <w:ind w:firstLine="624"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附表1：技术方案评审表（合格性评审）</w:t>
      </w:r>
    </w:p>
    <w:p>
      <w:pPr>
        <w:keepNext w:val="0"/>
        <w:keepLines w:val="0"/>
        <w:pageBreakBefore w:val="0"/>
        <w:widowControl w:val="0"/>
        <w:kinsoku/>
        <w:wordWrap/>
        <w:overflowPunct/>
        <w:topLinePunct w:val="0"/>
        <w:autoSpaceDE/>
        <w:autoSpaceDN/>
        <w:bidi w:val="0"/>
        <w:adjustRightInd/>
        <w:snapToGrid w:val="0"/>
        <w:spacing w:line="520" w:lineRule="exact"/>
        <w:ind w:firstLine="624"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附表2：技术方案评审计分表（计分评审）</w:t>
      </w:r>
    </w:p>
    <w:p>
      <w:pPr>
        <w:keepNext w:val="0"/>
        <w:keepLines w:val="0"/>
        <w:pageBreakBefore w:val="0"/>
        <w:widowControl w:val="0"/>
        <w:kinsoku/>
        <w:wordWrap/>
        <w:overflowPunct/>
        <w:topLinePunct w:val="0"/>
        <w:autoSpaceDE/>
        <w:autoSpaceDN/>
        <w:bidi w:val="0"/>
        <w:adjustRightInd/>
        <w:snapToGrid w:val="0"/>
        <w:spacing w:line="520" w:lineRule="exact"/>
        <w:ind w:firstLine="624"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附表3：企业资信及履约能力评审计分表</w:t>
      </w:r>
    </w:p>
    <w:p>
      <w:pPr>
        <w:keepNext w:val="0"/>
        <w:keepLines w:val="0"/>
        <w:pageBreakBefore w:val="0"/>
        <w:widowControl w:val="0"/>
        <w:kinsoku/>
        <w:wordWrap/>
        <w:overflowPunct/>
        <w:topLinePunct w:val="0"/>
        <w:autoSpaceDE/>
        <w:autoSpaceDN/>
        <w:bidi w:val="0"/>
        <w:adjustRightInd/>
        <w:snapToGrid w:val="0"/>
        <w:spacing w:line="520" w:lineRule="exact"/>
        <w:ind w:firstLine="624" w:firstLineChars="200"/>
        <w:textAlignment w:val="auto"/>
        <w:rPr>
          <w:rFonts w:hint="eastAsia" w:ascii="宋体" w:hAnsi="宋体" w:eastAsia="宋体" w:cs="宋体"/>
          <w:b/>
          <w:color w:val="auto"/>
          <w:kern w:val="0"/>
          <w:sz w:val="24"/>
          <w:highlight w:val="none"/>
        </w:rPr>
      </w:pPr>
      <w:bookmarkStart w:id="0" w:name="_Toc300678151"/>
      <w:r>
        <w:rPr>
          <w:rFonts w:hint="eastAsia" w:ascii="宋体" w:hAnsi="宋体" w:eastAsia="宋体" w:cs="宋体"/>
          <w:color w:val="auto"/>
          <w:sz w:val="32"/>
          <w:szCs w:val="32"/>
          <w:highlight w:val="none"/>
        </w:rPr>
        <w:t>附表4：投标报价评审表</w:t>
      </w:r>
    </w:p>
    <w:p>
      <w:pPr>
        <w:adjustRightInd w:val="0"/>
        <w:snapToGrid w:val="0"/>
        <w:jc w:val="center"/>
        <w:rPr>
          <w:rFonts w:hint="eastAsia" w:ascii="宋体" w:hAnsi="宋体" w:eastAsia="宋体" w:cs="宋体"/>
          <w:b/>
          <w:color w:val="auto"/>
          <w:kern w:val="0"/>
          <w:sz w:val="24"/>
          <w:highlight w:val="none"/>
        </w:rPr>
      </w:pPr>
    </w:p>
    <w:p>
      <w:pPr>
        <w:adjustRightInd w:val="0"/>
        <w:snapToGrid w:val="0"/>
        <w:jc w:val="center"/>
        <w:rPr>
          <w:rFonts w:hint="eastAsia" w:ascii="宋体" w:hAnsi="宋体" w:eastAsia="宋体" w:cs="宋体"/>
          <w:b/>
          <w:color w:val="auto"/>
          <w:kern w:val="0"/>
          <w:sz w:val="24"/>
          <w:highlight w:val="none"/>
        </w:rPr>
        <w:sectPr>
          <w:headerReference r:id="rId3" w:type="default"/>
          <w:footerReference r:id="rId4" w:type="default"/>
          <w:pgSz w:w="11906" w:h="16838"/>
          <w:pgMar w:top="1417" w:right="1417" w:bottom="1417" w:left="1417" w:header="1701" w:footer="1134" w:gutter="0"/>
          <w:paperSrc/>
          <w:cols w:space="0" w:num="1"/>
          <w:rtlGutter w:val="0"/>
          <w:docGrid w:type="linesAndChars" w:linePitch="574" w:charSpace="-1683"/>
        </w:sectPr>
      </w:pPr>
    </w:p>
    <w:p>
      <w:pPr>
        <w:widowControl/>
        <w:shd w:val="clear" w:color="auto" w:fill="FFFFFF"/>
        <w:spacing w:line="480" w:lineRule="exact"/>
        <w:jc w:val="center"/>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附表1：技术方案评审表（合格性评审）</w:t>
      </w:r>
    </w:p>
    <w:p>
      <w:pPr>
        <w:adjustRightInd w:val="0"/>
        <w:snapToGrid w:val="0"/>
        <w:jc w:val="center"/>
        <w:rPr>
          <w:rFonts w:ascii="仿宋_GB2312" w:hAnsi="仿宋" w:cs="仿宋_GB2312"/>
          <w:b/>
          <w:color w:val="auto"/>
          <w:kern w:val="0"/>
          <w:sz w:val="24"/>
          <w:highlight w:val="none"/>
        </w:rPr>
      </w:pPr>
    </w:p>
    <w:tbl>
      <w:tblPr>
        <w:tblStyle w:val="4"/>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1572"/>
        <w:gridCol w:w="6701"/>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jc w:val="center"/>
        </w:trPr>
        <w:tc>
          <w:tcPr>
            <w:tcW w:w="6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57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评审因素</w:t>
            </w:r>
          </w:p>
        </w:tc>
        <w:tc>
          <w:tcPr>
            <w:tcW w:w="670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评审标准</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1" w:hRule="atLeast"/>
          <w:jc w:val="center"/>
        </w:trPr>
        <w:tc>
          <w:tcPr>
            <w:tcW w:w="612" w:type="dxa"/>
            <w:vMerge w:val="restart"/>
            <w:tcBorders>
              <w:top w:val="nil"/>
              <w:left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72" w:type="dxa"/>
            <w:vMerge w:val="restart"/>
            <w:tcBorders>
              <w:top w:val="nil"/>
              <w:left w:val="nil"/>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总承包方案</w:t>
            </w:r>
          </w:p>
        </w:tc>
        <w:tc>
          <w:tcPr>
            <w:tcW w:w="6701" w:type="dxa"/>
            <w:tcBorders>
              <w:top w:val="single" w:color="auto" w:sz="4" w:space="0"/>
              <w:left w:val="nil"/>
              <w:right w:val="single" w:color="auto" w:sz="4" w:space="0"/>
            </w:tcBorders>
            <w:tcMar>
              <w:top w:w="15" w:type="dxa"/>
              <w:left w:w="15" w:type="dxa"/>
              <w:bottom w:w="0" w:type="dxa"/>
              <w:right w:w="15" w:type="dxa"/>
            </w:tcMar>
            <w:vAlign w:val="center"/>
          </w:tcPr>
          <w:p>
            <w:pPr>
              <w:spacing w:line="320" w:lineRule="exact"/>
              <w:ind w:left="101" w:leftChars="50" w:right="101"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缺少</w:t>
            </w:r>
            <w:r>
              <w:rPr>
                <w:rFonts w:hint="eastAsia" w:ascii="宋体" w:hAnsi="宋体" w:eastAsia="宋体" w:cs="宋体"/>
                <w:color w:val="auto"/>
                <w:sz w:val="24"/>
                <w:highlight w:val="none"/>
              </w:rPr>
              <w:t>总承包工作的重点难点和相应的针对性措施；</w:t>
            </w:r>
          </w:p>
          <w:p>
            <w:pPr>
              <w:spacing w:line="320" w:lineRule="exact"/>
              <w:ind w:left="101" w:leftChars="50" w:right="101"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缺少</w:t>
            </w:r>
            <w:r>
              <w:rPr>
                <w:rFonts w:hint="eastAsia" w:ascii="宋体" w:hAnsi="宋体" w:eastAsia="宋体" w:cs="宋体"/>
                <w:color w:val="auto"/>
                <w:sz w:val="24"/>
                <w:highlight w:val="none"/>
              </w:rPr>
              <w:t>总承包进度计划和保证措施，重要节点和管控措施；</w:t>
            </w:r>
          </w:p>
          <w:p>
            <w:pPr>
              <w:spacing w:line="320" w:lineRule="exact"/>
              <w:ind w:left="101" w:leftChars="50" w:right="101"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缺少</w:t>
            </w:r>
            <w:r>
              <w:rPr>
                <w:rFonts w:hint="eastAsia" w:ascii="宋体" w:hAnsi="宋体" w:eastAsia="宋体" w:cs="宋体"/>
                <w:color w:val="auto"/>
                <w:sz w:val="24"/>
                <w:highlight w:val="none"/>
              </w:rPr>
              <w:t>总承包整体成本管控方案和措施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风险成本的控制措施；</w:t>
            </w:r>
          </w:p>
          <w:p>
            <w:pPr>
              <w:spacing w:line="320" w:lineRule="exact"/>
              <w:ind w:left="101" w:leftChars="50" w:right="101"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缺少</w:t>
            </w:r>
            <w:r>
              <w:rPr>
                <w:rFonts w:hint="eastAsia" w:ascii="宋体" w:hAnsi="宋体" w:eastAsia="宋体" w:cs="宋体"/>
                <w:color w:val="auto"/>
                <w:sz w:val="24"/>
                <w:highlight w:val="none"/>
              </w:rPr>
              <w:t>总承包资源配置和管控措施。</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612"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auto"/>
                <w:sz w:val="24"/>
                <w:highlight w:val="none"/>
              </w:rPr>
            </w:pPr>
          </w:p>
        </w:tc>
        <w:tc>
          <w:tcPr>
            <w:tcW w:w="1572" w:type="dxa"/>
            <w:vMerge w:val="continue"/>
            <w:tcBorders>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auto"/>
                <w:sz w:val="24"/>
                <w:highlight w:val="none"/>
              </w:rPr>
            </w:pPr>
          </w:p>
        </w:tc>
        <w:tc>
          <w:tcPr>
            <w:tcW w:w="6701" w:type="dxa"/>
            <w:tcBorders>
              <w:left w:val="nil"/>
              <w:bottom w:val="single" w:color="auto" w:sz="4" w:space="0"/>
              <w:right w:val="single" w:color="auto" w:sz="4" w:space="0"/>
            </w:tcBorders>
            <w:tcMar>
              <w:top w:w="15" w:type="dxa"/>
              <w:left w:w="15" w:type="dxa"/>
              <w:bottom w:w="0" w:type="dxa"/>
              <w:right w:w="15" w:type="dxa"/>
            </w:tcMar>
            <w:vAlign w:val="center"/>
          </w:tcPr>
          <w:p>
            <w:pPr>
              <w:spacing w:line="320" w:lineRule="exact"/>
              <w:ind w:left="101" w:leftChars="50" w:right="101" w:right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无不合格内容</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2" w:hRule="atLeast"/>
          <w:jc w:val="center"/>
        </w:trPr>
        <w:tc>
          <w:tcPr>
            <w:tcW w:w="612" w:type="dxa"/>
            <w:vMerge w:val="restart"/>
            <w:tcBorders>
              <w:top w:val="nil"/>
              <w:left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72" w:type="dxa"/>
            <w:vMerge w:val="restart"/>
            <w:tcBorders>
              <w:top w:val="nil"/>
              <w:left w:val="nil"/>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设计</w:t>
            </w:r>
            <w:r>
              <w:rPr>
                <w:rFonts w:hint="eastAsia" w:ascii="宋体" w:hAnsi="宋体" w:eastAsia="宋体" w:cs="宋体"/>
                <w:color w:val="auto"/>
                <w:sz w:val="24"/>
                <w:highlight w:val="none"/>
                <w:lang w:val="en-US" w:eastAsia="zh-CN"/>
              </w:rPr>
              <w:t>工作</w:t>
            </w:r>
            <w:r>
              <w:rPr>
                <w:rFonts w:hint="eastAsia" w:ascii="宋体" w:hAnsi="宋体" w:eastAsia="宋体" w:cs="宋体"/>
                <w:color w:val="auto"/>
                <w:sz w:val="24"/>
                <w:highlight w:val="none"/>
              </w:rPr>
              <w:t>方案</w:t>
            </w:r>
          </w:p>
        </w:tc>
        <w:tc>
          <w:tcPr>
            <w:tcW w:w="6701" w:type="dxa"/>
            <w:tcBorders>
              <w:top w:val="single" w:color="auto" w:sz="4" w:space="0"/>
              <w:left w:val="nil"/>
              <w:right w:val="single" w:color="auto" w:sz="4" w:space="0"/>
            </w:tcBorders>
            <w:tcMar>
              <w:top w:w="15" w:type="dxa"/>
              <w:left w:w="15" w:type="dxa"/>
              <w:bottom w:w="0" w:type="dxa"/>
              <w:right w:w="15" w:type="dxa"/>
            </w:tcMar>
            <w:vAlign w:val="center"/>
          </w:tcPr>
          <w:p>
            <w:pPr>
              <w:spacing w:line="320" w:lineRule="exact"/>
              <w:ind w:left="101" w:leftChars="50" w:right="101" w:rightChars="5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1.工作</w:t>
            </w:r>
            <w:r>
              <w:rPr>
                <w:rFonts w:hint="eastAsia" w:ascii="宋体" w:hAnsi="宋体" w:eastAsia="宋体" w:cs="宋体"/>
                <w:color w:val="auto"/>
                <w:sz w:val="24"/>
                <w:highlight w:val="none"/>
              </w:rPr>
              <w:t>方案内容</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完整、表达</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清晰</w:t>
            </w:r>
            <w:r>
              <w:rPr>
                <w:rFonts w:hint="eastAsia" w:ascii="宋体" w:hAnsi="宋体" w:eastAsia="宋体" w:cs="宋体"/>
                <w:color w:val="auto"/>
                <w:sz w:val="24"/>
                <w:highlight w:val="none"/>
                <w:lang w:eastAsia="zh-CN"/>
              </w:rPr>
              <w:t>；</w:t>
            </w:r>
          </w:p>
          <w:p>
            <w:pPr>
              <w:spacing w:line="320" w:lineRule="exact"/>
              <w:ind w:left="101" w:leftChars="50" w:right="101" w:rightChars="5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2.设计工作的重点难点不准确；</w:t>
            </w:r>
          </w:p>
          <w:p>
            <w:pPr>
              <w:spacing w:line="320" w:lineRule="exact"/>
              <w:ind w:left="101" w:leftChars="50" w:right="101" w:rightChars="5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3.无法</w:t>
            </w:r>
            <w:r>
              <w:rPr>
                <w:rFonts w:hint="eastAsia" w:ascii="宋体" w:hAnsi="宋体" w:eastAsia="宋体" w:cs="宋体"/>
                <w:color w:val="auto"/>
                <w:sz w:val="24"/>
                <w:highlight w:val="none"/>
              </w:rPr>
              <w:t>实现项目各项指标要求</w:t>
            </w:r>
            <w:r>
              <w:rPr>
                <w:rFonts w:hint="eastAsia" w:ascii="宋体" w:hAnsi="宋体" w:eastAsia="宋体" w:cs="宋体"/>
                <w:color w:val="auto"/>
                <w:sz w:val="24"/>
                <w:highlight w:val="none"/>
                <w:lang w:eastAsia="zh-CN"/>
              </w:rPr>
              <w:t>。</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612"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auto"/>
                <w:sz w:val="24"/>
                <w:highlight w:val="none"/>
              </w:rPr>
            </w:pPr>
          </w:p>
        </w:tc>
        <w:tc>
          <w:tcPr>
            <w:tcW w:w="1572" w:type="dxa"/>
            <w:vMerge w:val="continue"/>
            <w:tcBorders>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auto"/>
                <w:sz w:val="24"/>
                <w:highlight w:val="none"/>
              </w:rPr>
            </w:pPr>
          </w:p>
        </w:tc>
        <w:tc>
          <w:tcPr>
            <w:tcW w:w="6701" w:type="dxa"/>
            <w:tcBorders>
              <w:left w:val="nil"/>
              <w:bottom w:val="single" w:color="auto" w:sz="4" w:space="0"/>
              <w:right w:val="single" w:color="auto" w:sz="4" w:space="0"/>
            </w:tcBorders>
            <w:tcMar>
              <w:top w:w="15" w:type="dxa"/>
              <w:left w:w="15" w:type="dxa"/>
              <w:bottom w:w="0" w:type="dxa"/>
              <w:right w:w="15" w:type="dxa"/>
            </w:tcMar>
            <w:vAlign w:val="center"/>
          </w:tcPr>
          <w:p>
            <w:pPr>
              <w:spacing w:line="320" w:lineRule="exact"/>
              <w:ind w:left="101" w:leftChars="50" w:right="101" w:right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无不合格内容</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612" w:type="dxa"/>
            <w:vMerge w:val="restart"/>
            <w:tcBorders>
              <w:top w:val="nil"/>
              <w:left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572" w:type="dxa"/>
            <w:vMerge w:val="restart"/>
            <w:tcBorders>
              <w:top w:val="nil"/>
              <w:left w:val="nil"/>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施工组织设计</w:t>
            </w:r>
          </w:p>
        </w:tc>
        <w:tc>
          <w:tcPr>
            <w:tcW w:w="6701" w:type="dxa"/>
            <w:tcBorders>
              <w:top w:val="single" w:color="auto" w:sz="4" w:space="0"/>
              <w:left w:val="nil"/>
              <w:right w:val="single" w:color="auto" w:sz="4" w:space="0"/>
            </w:tcBorders>
            <w:tcMar>
              <w:top w:w="15" w:type="dxa"/>
              <w:left w:w="15" w:type="dxa"/>
              <w:bottom w:w="0" w:type="dxa"/>
              <w:right w:w="15" w:type="dxa"/>
            </w:tcMar>
            <w:vAlign w:val="center"/>
          </w:tcPr>
          <w:p>
            <w:pPr>
              <w:spacing w:line="320" w:lineRule="exact"/>
              <w:ind w:right="101" w:rightChars="5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缺少</w:t>
            </w:r>
            <w:r>
              <w:rPr>
                <w:rFonts w:hint="eastAsia" w:ascii="宋体" w:hAnsi="宋体" w:eastAsia="宋体" w:cs="宋体"/>
                <w:color w:val="auto"/>
                <w:sz w:val="24"/>
                <w:highlight w:val="none"/>
              </w:rPr>
              <w:t>质量、安全、文明施工及环境保护管理体系与措施</w:t>
            </w:r>
            <w:r>
              <w:rPr>
                <w:rFonts w:hint="eastAsia" w:ascii="宋体" w:hAnsi="宋体" w:eastAsia="宋体" w:cs="宋体"/>
                <w:color w:val="auto"/>
                <w:sz w:val="24"/>
                <w:highlight w:val="none"/>
                <w:lang w:eastAsia="zh-CN"/>
              </w:rPr>
              <w:t>；</w:t>
            </w:r>
          </w:p>
          <w:p>
            <w:pPr>
              <w:spacing w:line="320" w:lineRule="exact"/>
              <w:ind w:right="101" w:rightChars="50"/>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lang w:val="en-US" w:eastAsia="zh-CN"/>
              </w:rPr>
              <w:t>2.缺少</w:t>
            </w:r>
            <w:r>
              <w:rPr>
                <w:rFonts w:hint="eastAsia" w:ascii="宋体" w:hAnsi="宋体" w:eastAsia="宋体" w:cs="宋体"/>
                <w:bCs/>
                <w:color w:val="auto"/>
                <w:sz w:val="24"/>
                <w:highlight w:val="none"/>
              </w:rPr>
              <w:t>建筑垃圾源头减量、分类处置及扬尘污染防治等相关内容</w:t>
            </w:r>
            <w:r>
              <w:rPr>
                <w:rFonts w:hint="eastAsia" w:ascii="宋体" w:hAnsi="宋体" w:eastAsia="宋体" w:cs="宋体"/>
                <w:color w:val="auto"/>
                <w:sz w:val="24"/>
                <w:highlight w:val="none"/>
              </w:rPr>
              <w:t>；</w:t>
            </w:r>
          </w:p>
          <w:p>
            <w:pPr>
              <w:spacing w:line="320" w:lineRule="exact"/>
              <w:ind w:right="101"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lang w:val="en-US" w:eastAsia="zh-CN"/>
              </w:rPr>
              <w:t>缺少</w:t>
            </w:r>
            <w:r>
              <w:rPr>
                <w:rFonts w:hint="eastAsia" w:ascii="宋体" w:hAnsi="宋体" w:eastAsia="宋体" w:cs="宋体"/>
                <w:color w:val="auto"/>
                <w:sz w:val="24"/>
                <w:highlight w:val="none"/>
              </w:rPr>
              <w:t>特殊情况下的应急预案、处理措施及相关承诺；</w:t>
            </w:r>
          </w:p>
          <w:p>
            <w:pPr>
              <w:spacing w:line="320" w:lineRule="exact"/>
              <w:ind w:right="101"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缺少</w:t>
            </w:r>
            <w:r>
              <w:rPr>
                <w:rFonts w:hint="eastAsia" w:ascii="宋体" w:hAnsi="宋体" w:eastAsia="宋体" w:cs="宋体"/>
                <w:color w:val="auto"/>
                <w:sz w:val="24"/>
                <w:highlight w:val="none"/>
              </w:rPr>
              <w:t>施工总平面布置规划。</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612"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auto"/>
                <w:sz w:val="24"/>
                <w:highlight w:val="none"/>
              </w:rPr>
            </w:pPr>
          </w:p>
        </w:tc>
        <w:tc>
          <w:tcPr>
            <w:tcW w:w="1572" w:type="dxa"/>
            <w:vMerge w:val="continue"/>
            <w:tcBorders>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auto"/>
                <w:sz w:val="24"/>
                <w:highlight w:val="none"/>
              </w:rPr>
            </w:pPr>
          </w:p>
        </w:tc>
        <w:tc>
          <w:tcPr>
            <w:tcW w:w="6701" w:type="dxa"/>
            <w:tcBorders>
              <w:left w:val="nil"/>
              <w:bottom w:val="single" w:color="auto" w:sz="4" w:space="0"/>
              <w:right w:val="single" w:color="auto" w:sz="4" w:space="0"/>
            </w:tcBorders>
            <w:tcMar>
              <w:top w:w="15" w:type="dxa"/>
              <w:left w:w="15" w:type="dxa"/>
              <w:bottom w:w="0" w:type="dxa"/>
              <w:right w:w="15" w:type="dxa"/>
            </w:tcMar>
            <w:vAlign w:val="center"/>
          </w:tcPr>
          <w:p>
            <w:pPr>
              <w:spacing w:line="320" w:lineRule="exact"/>
              <w:ind w:right="101" w:right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无不合格内容</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合格</w:t>
            </w:r>
          </w:p>
        </w:tc>
      </w:tr>
    </w:tbl>
    <w:p>
      <w:pPr>
        <w:spacing w:line="480" w:lineRule="exact"/>
        <w:ind w:firstLine="404" w:firstLineChars="200"/>
        <w:rPr>
          <w:rFonts w:hint="eastAsia" w:ascii="宋体" w:hAnsi="宋体"/>
          <w:color w:val="auto"/>
          <w:highlight w:val="none"/>
          <w:lang w:val="en-US" w:eastAsia="zh-CN"/>
        </w:rPr>
      </w:pPr>
      <w:r>
        <w:rPr>
          <w:rFonts w:hint="eastAsia" w:ascii="宋体" w:hAnsi="宋体"/>
          <w:color w:val="auto"/>
          <w:highlight w:val="none"/>
          <w:lang w:val="en-US" w:eastAsia="zh-CN"/>
        </w:rPr>
        <w:t>注：1.适用于技术方案采用合格性评审项目；</w:t>
      </w:r>
    </w:p>
    <w:p>
      <w:pPr>
        <w:spacing w:line="480" w:lineRule="exact"/>
        <w:ind w:left="404" w:leftChars="200" w:firstLine="404" w:firstLineChars="200"/>
        <w:rPr>
          <w:rFonts w:hint="eastAsia" w:ascii="宋体" w:hAnsi="宋体"/>
          <w:color w:val="auto"/>
          <w:highlight w:val="none"/>
          <w:lang w:val="en-US" w:eastAsia="zh-CN"/>
        </w:rPr>
      </w:pPr>
      <w:r>
        <w:rPr>
          <w:rFonts w:hint="eastAsia" w:ascii="宋体" w:hAnsi="宋体"/>
          <w:color w:val="auto"/>
          <w:highlight w:val="none"/>
          <w:lang w:val="en-US" w:eastAsia="zh-CN"/>
        </w:rPr>
        <w:t>2.因技术方案缺项或者同一项评审内容被超过一半评标委员会成员判定为不合格的，技术方案不合格，应当否决其投标；</w:t>
      </w:r>
    </w:p>
    <w:p>
      <w:pPr>
        <w:spacing w:line="480" w:lineRule="exact"/>
        <w:ind w:left="404" w:leftChars="200" w:firstLine="404" w:firstLineChars="200"/>
        <w:rPr>
          <w:rFonts w:hint="default" w:ascii="宋体" w:hAnsi="宋体"/>
          <w:color w:val="auto"/>
          <w:highlight w:val="none"/>
          <w:lang w:val="en-US" w:eastAsia="zh-CN"/>
        </w:rPr>
      </w:pPr>
      <w:r>
        <w:rPr>
          <w:rFonts w:hint="eastAsia" w:ascii="宋体" w:hAnsi="宋体"/>
          <w:color w:val="auto"/>
          <w:highlight w:val="none"/>
          <w:lang w:val="en-US" w:eastAsia="zh-CN"/>
        </w:rPr>
        <w:t>3.技术方案评审不合格的，评标委员会应当注明理由和依据。</w:t>
      </w:r>
    </w:p>
    <w:p>
      <w:pPr>
        <w:adjustRightInd w:val="0"/>
        <w:snapToGrid w:val="0"/>
        <w:jc w:val="center"/>
        <w:rPr>
          <w:rFonts w:ascii="仿宋_GB2312" w:hAnsi="仿宋" w:cs="仿宋_GB2312"/>
          <w:b/>
          <w:color w:val="auto"/>
          <w:kern w:val="0"/>
          <w:sz w:val="24"/>
          <w:highlight w:val="none"/>
        </w:rPr>
      </w:pPr>
    </w:p>
    <w:p>
      <w:pPr>
        <w:adjustRightInd w:val="0"/>
        <w:snapToGrid w:val="0"/>
        <w:jc w:val="center"/>
        <w:rPr>
          <w:rFonts w:ascii="仿宋_GB2312" w:hAnsi="仿宋" w:cs="仿宋_GB2312"/>
          <w:b/>
          <w:color w:val="auto"/>
          <w:kern w:val="0"/>
          <w:sz w:val="24"/>
          <w:highlight w:val="none"/>
        </w:rPr>
        <w:sectPr>
          <w:pgSz w:w="11906" w:h="16838"/>
          <w:pgMar w:top="1417" w:right="1417" w:bottom="1417" w:left="1417" w:header="1701" w:footer="1134" w:gutter="0"/>
          <w:paperSrc/>
          <w:cols w:space="0" w:num="1"/>
          <w:rtlGutter w:val="0"/>
          <w:docGrid w:type="linesAndChars" w:linePitch="574" w:charSpace="-1683"/>
        </w:sectPr>
      </w:pPr>
    </w:p>
    <w:p>
      <w:pPr>
        <w:widowControl/>
        <w:shd w:val="clear" w:color="auto" w:fill="FFFFFF"/>
        <w:spacing w:line="480" w:lineRule="exact"/>
        <w:jc w:val="center"/>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附表2：技术方案评审计分表（计分评审）</w:t>
      </w:r>
    </w:p>
    <w:tbl>
      <w:tblPr>
        <w:tblStyle w:val="4"/>
        <w:tblW w:w="13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877"/>
        <w:gridCol w:w="1632"/>
        <w:gridCol w:w="9298"/>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blHeader/>
          <w:jc w:val="center"/>
        </w:trPr>
        <w:tc>
          <w:tcPr>
            <w:tcW w:w="769" w:type="dxa"/>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序号</w:t>
            </w:r>
          </w:p>
        </w:tc>
        <w:tc>
          <w:tcPr>
            <w:tcW w:w="2509" w:type="dxa"/>
            <w:gridSpan w:val="2"/>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评审项目</w:t>
            </w:r>
          </w:p>
        </w:tc>
        <w:tc>
          <w:tcPr>
            <w:tcW w:w="9298" w:type="dxa"/>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评审标准</w:t>
            </w:r>
          </w:p>
        </w:tc>
        <w:tc>
          <w:tcPr>
            <w:tcW w:w="1153" w:type="dxa"/>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restart"/>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p>
        </w:tc>
        <w:tc>
          <w:tcPr>
            <w:tcW w:w="877" w:type="dxa"/>
            <w:vMerge w:val="restart"/>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总承包方案（45分）</w:t>
            </w:r>
          </w:p>
        </w:tc>
        <w:tc>
          <w:tcPr>
            <w:tcW w:w="1632" w:type="dxa"/>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管理方案</w:t>
            </w:r>
          </w:p>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（7分）</w:t>
            </w:r>
          </w:p>
        </w:tc>
        <w:tc>
          <w:tcPr>
            <w:tcW w:w="9298" w:type="dxa"/>
            <w:shd w:val="clear" w:color="000000" w:fill="FFFFFF"/>
            <w:vAlign w:val="center"/>
          </w:tcPr>
          <w:p>
            <w:pPr>
              <w:widowControl/>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1、组织机构设置是否合理，是否涵盖招标人要求的全部内容；</w:t>
            </w:r>
          </w:p>
          <w:p>
            <w:pPr>
              <w:widowControl/>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2、管理内容是否全面、完整，是否涵盖项目风险、进度、质量、成本、安全、环保、合同等管理；</w:t>
            </w:r>
          </w:p>
          <w:p>
            <w:pPr>
              <w:widowControl/>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3、整体部署是否合理、可靠。</w:t>
            </w:r>
          </w:p>
        </w:tc>
        <w:tc>
          <w:tcPr>
            <w:tcW w:w="1153" w:type="dxa"/>
            <w:tcBorders>
              <w:bottom w:val="single" w:color="auto" w:sz="4" w:space="0"/>
            </w:tcBorders>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p>
        </w:tc>
        <w:tc>
          <w:tcPr>
            <w:tcW w:w="877" w:type="dxa"/>
            <w:vMerge w:val="continue"/>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p>
        </w:tc>
        <w:tc>
          <w:tcPr>
            <w:tcW w:w="1632" w:type="dxa"/>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安全生产控制方案（8分）</w:t>
            </w:r>
          </w:p>
        </w:tc>
        <w:tc>
          <w:tcPr>
            <w:tcW w:w="9298" w:type="dxa"/>
            <w:shd w:val="clear" w:color="000000" w:fill="FFFFFF"/>
            <w:vAlign w:val="center"/>
          </w:tcPr>
          <w:p>
            <w:pPr>
              <w:widowControl/>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1、总包管理的安全目标是否明确，组织机构是否健全；</w:t>
            </w:r>
          </w:p>
          <w:p>
            <w:pPr>
              <w:widowControl/>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2、安全风险是否识别到位，安全投入计划是否合理；</w:t>
            </w:r>
          </w:p>
          <w:p>
            <w:pPr>
              <w:widowControl/>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3、总包管理的安全管理及保障措施是否全面、有效。</w:t>
            </w:r>
          </w:p>
        </w:tc>
        <w:tc>
          <w:tcPr>
            <w:tcW w:w="1153" w:type="dxa"/>
            <w:tcBorders>
              <w:bottom w:val="single" w:color="auto" w:sz="4" w:space="0"/>
            </w:tcBorders>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p>
        </w:tc>
        <w:tc>
          <w:tcPr>
            <w:tcW w:w="877" w:type="dxa"/>
            <w:vMerge w:val="continue"/>
            <w:shd w:val="clear" w:color="000000" w:fill="FFFFFF"/>
            <w:vAlign w:val="center"/>
          </w:tcPr>
          <w:p>
            <w:pPr>
              <w:spacing w:line="280" w:lineRule="exact"/>
              <w:jc w:val="center"/>
              <w:rPr>
                <w:rFonts w:hint="eastAsia" w:ascii="宋体" w:hAnsi="宋体" w:eastAsia="宋体" w:cs="宋体"/>
                <w:bCs/>
                <w:color w:val="auto"/>
                <w:kern w:val="0"/>
                <w:sz w:val="21"/>
                <w:szCs w:val="21"/>
                <w:highlight w:val="none"/>
              </w:rPr>
            </w:pPr>
          </w:p>
        </w:tc>
        <w:tc>
          <w:tcPr>
            <w:tcW w:w="1632" w:type="dxa"/>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成本控制方案</w:t>
            </w:r>
          </w:p>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（8分）</w:t>
            </w:r>
          </w:p>
        </w:tc>
        <w:tc>
          <w:tcPr>
            <w:tcW w:w="9298" w:type="dxa"/>
            <w:shd w:val="clear" w:color="000000" w:fill="FFFFFF"/>
            <w:vAlign w:val="center"/>
          </w:tcPr>
          <w:p>
            <w:pPr>
              <w:widowControl/>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1、成本控制方案对超</w:t>
            </w:r>
            <w:r>
              <w:rPr>
                <w:rFonts w:hint="eastAsia" w:ascii="宋体" w:hAnsi="宋体" w:eastAsia="宋体" w:cs="宋体"/>
                <w:bCs/>
                <w:color w:val="auto"/>
                <w:kern w:val="0"/>
                <w:sz w:val="21"/>
                <w:szCs w:val="21"/>
                <w:highlight w:val="none"/>
                <w:lang w:val="en-US" w:eastAsia="zh-CN"/>
              </w:rPr>
              <w:t>投资估算/</w:t>
            </w:r>
            <w:r>
              <w:rPr>
                <w:rFonts w:hint="eastAsia" w:ascii="宋体" w:hAnsi="宋体" w:eastAsia="宋体" w:cs="宋体"/>
                <w:bCs/>
                <w:color w:val="auto"/>
                <w:kern w:val="0"/>
                <w:sz w:val="21"/>
                <w:szCs w:val="21"/>
                <w:highlight w:val="none"/>
              </w:rPr>
              <w:t>超概风险提出的防范、化解措施是否合理可行；</w:t>
            </w:r>
          </w:p>
          <w:p>
            <w:pPr>
              <w:widowControl/>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2、项目设计变更等成本控制措施是否合理、可行。</w:t>
            </w:r>
          </w:p>
        </w:tc>
        <w:tc>
          <w:tcPr>
            <w:tcW w:w="1153" w:type="dxa"/>
            <w:tcBorders>
              <w:bottom w:val="single" w:color="auto" w:sz="4" w:space="0"/>
            </w:tcBorders>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p>
        </w:tc>
        <w:tc>
          <w:tcPr>
            <w:tcW w:w="877" w:type="dxa"/>
            <w:vMerge w:val="continue"/>
            <w:shd w:val="clear" w:color="000000" w:fill="FFFFFF"/>
            <w:vAlign w:val="center"/>
          </w:tcPr>
          <w:p>
            <w:pPr>
              <w:spacing w:line="280" w:lineRule="exact"/>
              <w:jc w:val="center"/>
              <w:rPr>
                <w:rFonts w:hint="eastAsia" w:ascii="宋体" w:hAnsi="宋体" w:eastAsia="宋体" w:cs="宋体"/>
                <w:bCs/>
                <w:color w:val="auto"/>
                <w:kern w:val="0"/>
                <w:sz w:val="21"/>
                <w:szCs w:val="21"/>
                <w:highlight w:val="none"/>
              </w:rPr>
            </w:pPr>
          </w:p>
        </w:tc>
        <w:tc>
          <w:tcPr>
            <w:tcW w:w="1632" w:type="dxa"/>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质量管理方案</w:t>
            </w:r>
          </w:p>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（8分）</w:t>
            </w:r>
          </w:p>
        </w:tc>
        <w:tc>
          <w:tcPr>
            <w:tcW w:w="9298" w:type="dxa"/>
            <w:shd w:val="clear" w:color="000000" w:fill="FFFFFF"/>
            <w:vAlign w:val="center"/>
          </w:tcPr>
          <w:p>
            <w:pPr>
              <w:widowControl/>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1、质量目标是否明确，是否符合或者优于招标文件的要求；</w:t>
            </w:r>
          </w:p>
          <w:p>
            <w:pPr>
              <w:widowControl/>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2、管理机构是否健全，职责分工是否明确；</w:t>
            </w:r>
          </w:p>
          <w:p>
            <w:pPr>
              <w:widowControl/>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3、管理制度是否齐全；</w:t>
            </w:r>
          </w:p>
          <w:p>
            <w:pPr>
              <w:widowControl/>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4、管控措施是否全面、有效等。</w:t>
            </w:r>
          </w:p>
        </w:tc>
        <w:tc>
          <w:tcPr>
            <w:tcW w:w="1153" w:type="dxa"/>
            <w:tcBorders>
              <w:bottom w:val="single" w:color="auto" w:sz="4" w:space="0"/>
            </w:tcBorders>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p>
        </w:tc>
        <w:tc>
          <w:tcPr>
            <w:tcW w:w="877" w:type="dxa"/>
            <w:vMerge w:val="continue"/>
            <w:shd w:val="clear" w:color="000000" w:fill="FFFFFF"/>
            <w:vAlign w:val="center"/>
          </w:tcPr>
          <w:p>
            <w:pPr>
              <w:spacing w:line="280" w:lineRule="exact"/>
              <w:jc w:val="center"/>
              <w:rPr>
                <w:rFonts w:hint="eastAsia" w:ascii="宋体" w:hAnsi="宋体" w:eastAsia="宋体" w:cs="宋体"/>
                <w:bCs/>
                <w:color w:val="auto"/>
                <w:kern w:val="0"/>
                <w:sz w:val="21"/>
                <w:szCs w:val="21"/>
                <w:highlight w:val="none"/>
              </w:rPr>
            </w:pPr>
          </w:p>
        </w:tc>
        <w:tc>
          <w:tcPr>
            <w:tcW w:w="1632" w:type="dxa"/>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进度管理方案</w:t>
            </w:r>
          </w:p>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（7分）</w:t>
            </w:r>
          </w:p>
        </w:tc>
        <w:tc>
          <w:tcPr>
            <w:tcW w:w="9298" w:type="dxa"/>
            <w:shd w:val="clear" w:color="000000" w:fill="FFFFFF"/>
            <w:vAlign w:val="center"/>
          </w:tcPr>
          <w:p>
            <w:pPr>
              <w:widowControl/>
              <w:numPr>
                <w:ilvl w:val="0"/>
                <w:numId w:val="1"/>
              </w:numPr>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总工期及节点工期是否满足招标文件要求；</w:t>
            </w:r>
          </w:p>
          <w:p>
            <w:pPr>
              <w:widowControl/>
              <w:numPr>
                <w:ilvl w:val="0"/>
                <w:numId w:val="1"/>
              </w:numPr>
              <w:spacing w:line="280" w:lineRule="exact"/>
              <w:ind w:firstLine="319" w:firstLineChars="158"/>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设计、施工等进度计划内容是否全面，线路是否清晰、准确、完整，计划编制是否合理、可行；</w:t>
            </w:r>
          </w:p>
          <w:p>
            <w:pPr>
              <w:widowControl/>
              <w:numPr>
                <w:ilvl w:val="0"/>
                <w:numId w:val="1"/>
              </w:numPr>
              <w:spacing w:line="280" w:lineRule="exact"/>
              <w:ind w:firstLine="319" w:firstLineChars="158"/>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措施是否合理、可行等。</w:t>
            </w:r>
          </w:p>
        </w:tc>
        <w:tc>
          <w:tcPr>
            <w:tcW w:w="1153" w:type="dxa"/>
            <w:tcBorders>
              <w:bottom w:val="single" w:color="auto" w:sz="4" w:space="0"/>
            </w:tcBorders>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0" w:hRule="atLeast"/>
          <w:jc w:val="center"/>
        </w:trPr>
        <w:tc>
          <w:tcPr>
            <w:tcW w:w="769" w:type="dxa"/>
            <w:vMerge w:val="continue"/>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p>
        </w:tc>
        <w:tc>
          <w:tcPr>
            <w:tcW w:w="877" w:type="dxa"/>
            <w:vMerge w:val="continue"/>
            <w:shd w:val="clear" w:color="000000" w:fill="FFFFFF"/>
            <w:vAlign w:val="center"/>
          </w:tcPr>
          <w:p>
            <w:pPr>
              <w:spacing w:line="280" w:lineRule="exact"/>
              <w:jc w:val="center"/>
              <w:rPr>
                <w:rFonts w:hint="eastAsia" w:ascii="宋体" w:hAnsi="宋体" w:eastAsia="宋体" w:cs="宋体"/>
                <w:bCs/>
                <w:color w:val="auto"/>
                <w:kern w:val="0"/>
                <w:sz w:val="21"/>
                <w:szCs w:val="21"/>
                <w:highlight w:val="none"/>
              </w:rPr>
            </w:pPr>
          </w:p>
        </w:tc>
        <w:tc>
          <w:tcPr>
            <w:tcW w:w="1632" w:type="dxa"/>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一体化管理措施</w:t>
            </w:r>
          </w:p>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（7分）</w:t>
            </w:r>
          </w:p>
        </w:tc>
        <w:tc>
          <w:tcPr>
            <w:tcW w:w="9298" w:type="dxa"/>
            <w:shd w:val="clear" w:color="000000" w:fill="FFFFFF"/>
            <w:vAlign w:val="center"/>
          </w:tcPr>
          <w:p>
            <w:pPr>
              <w:widowControl/>
              <w:numPr>
                <w:ilvl w:val="0"/>
                <w:numId w:val="2"/>
              </w:numPr>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一体化管理措施是否有效促进项目设计、施工等深度融合；</w:t>
            </w:r>
          </w:p>
          <w:p>
            <w:pPr>
              <w:widowControl/>
              <w:numPr>
                <w:ilvl w:val="0"/>
                <w:numId w:val="2"/>
              </w:numPr>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管理方案是否清晰并切实可行，内容是否全面、完整；</w:t>
            </w:r>
          </w:p>
          <w:p>
            <w:pPr>
              <w:widowControl/>
              <w:numPr>
                <w:ilvl w:val="0"/>
                <w:numId w:val="2"/>
              </w:numPr>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保障措施是否合理可行。</w:t>
            </w:r>
          </w:p>
        </w:tc>
        <w:tc>
          <w:tcPr>
            <w:tcW w:w="1153" w:type="dxa"/>
            <w:tcBorders>
              <w:bottom w:val="single" w:color="auto" w:sz="4" w:space="0"/>
            </w:tcBorders>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877" w:type="dxa"/>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设计优化方案（20分）</w:t>
            </w:r>
          </w:p>
        </w:tc>
        <w:tc>
          <w:tcPr>
            <w:tcW w:w="1632" w:type="dxa"/>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设计优化</w:t>
            </w:r>
            <w:r>
              <w:rPr>
                <w:rFonts w:hint="eastAsia" w:ascii="宋体" w:hAnsi="宋体" w:eastAsia="宋体" w:cs="宋体"/>
                <w:bCs/>
                <w:color w:val="auto"/>
                <w:kern w:val="0"/>
                <w:sz w:val="21"/>
                <w:szCs w:val="21"/>
                <w:highlight w:val="none"/>
                <w:lang w:val="en-US" w:eastAsia="zh-CN"/>
              </w:rPr>
              <w:t>方案</w:t>
            </w:r>
            <w:r>
              <w:rPr>
                <w:rFonts w:hint="eastAsia" w:ascii="宋体" w:hAnsi="宋体" w:eastAsia="宋体" w:cs="宋体"/>
                <w:bCs/>
                <w:color w:val="auto"/>
                <w:kern w:val="0"/>
                <w:sz w:val="21"/>
                <w:szCs w:val="21"/>
                <w:highlight w:val="none"/>
              </w:rPr>
              <w:t xml:space="preserve">               （20分）</w:t>
            </w:r>
          </w:p>
        </w:tc>
        <w:tc>
          <w:tcPr>
            <w:tcW w:w="9298" w:type="dxa"/>
            <w:vAlign w:val="center"/>
          </w:tcPr>
          <w:p>
            <w:pPr>
              <w:widowControl/>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1、设计解读分析是否具体、全面；</w:t>
            </w:r>
          </w:p>
          <w:p>
            <w:pPr>
              <w:widowControl/>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2、是否针对项目特点、难点、关键点提出设计优化方案，方案内容是否完整合理、表达是否清晰，能否实现项目各项指标要求；</w:t>
            </w:r>
          </w:p>
          <w:p>
            <w:pPr>
              <w:widowControl/>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3、是否提供</w:t>
            </w:r>
            <w:r>
              <w:rPr>
                <w:rFonts w:hint="eastAsia" w:ascii="宋体" w:hAnsi="宋体" w:eastAsia="宋体" w:cs="宋体"/>
                <w:bCs/>
                <w:color w:val="auto"/>
                <w:kern w:val="0"/>
                <w:sz w:val="21"/>
                <w:szCs w:val="21"/>
                <w:highlight w:val="none"/>
                <w:lang w:val="en-US" w:eastAsia="zh-CN"/>
              </w:rPr>
              <w:t>方案设计/</w:t>
            </w:r>
            <w:r>
              <w:rPr>
                <w:rFonts w:hint="eastAsia" w:ascii="宋体" w:hAnsi="宋体" w:eastAsia="宋体" w:cs="宋体"/>
                <w:bCs/>
                <w:color w:val="auto"/>
                <w:kern w:val="0"/>
                <w:sz w:val="21"/>
                <w:szCs w:val="21"/>
                <w:highlight w:val="none"/>
              </w:rPr>
              <w:t>初步设计中错、漏、碰、缺等问题的修正方案，方案是否全面合理；</w:t>
            </w:r>
          </w:p>
          <w:p>
            <w:pPr>
              <w:widowControl/>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4、新技术、新材料、新设备、新工艺的应用是否可行，绿色建筑设计措施是否科学、合理，节能环保产品（含建筑垃圾衍生产品）应用方案是否具体、合理，装配式技术（如有）是否合理、可行等；</w:t>
            </w:r>
          </w:p>
          <w:p>
            <w:pPr>
              <w:widowControl/>
              <w:spacing w:line="280" w:lineRule="exact"/>
              <w:ind w:firstLine="319" w:firstLineChars="158"/>
              <w:jc w:val="left"/>
              <w:rPr>
                <w:rFonts w:hint="eastAsia" w:ascii="宋体" w:hAnsi="宋体" w:eastAsia="宋体" w:cs="宋体"/>
                <w:color w:val="auto"/>
                <w:sz w:val="21"/>
                <w:szCs w:val="24"/>
                <w:highlight w:val="none"/>
              </w:rPr>
            </w:pPr>
            <w:r>
              <w:rPr>
                <w:rFonts w:hint="eastAsia" w:ascii="宋体" w:hAnsi="宋体" w:eastAsia="宋体" w:cs="宋体"/>
                <w:bCs/>
                <w:color w:val="auto"/>
                <w:kern w:val="0"/>
                <w:sz w:val="21"/>
                <w:szCs w:val="21"/>
                <w:highlight w:val="none"/>
              </w:rPr>
              <w:t>5.设计说明、图纸是否符合招标</w:t>
            </w:r>
            <w:r>
              <w:rPr>
                <w:rFonts w:hint="eastAsia" w:ascii="宋体" w:hAnsi="宋体" w:eastAsia="宋体" w:cs="宋体"/>
                <w:bCs/>
                <w:color w:val="auto"/>
                <w:kern w:val="0"/>
                <w:sz w:val="21"/>
                <w:szCs w:val="21"/>
                <w:highlight w:val="none"/>
                <w:lang w:val="en-US" w:eastAsia="zh-CN"/>
              </w:rPr>
              <w:t>文件</w:t>
            </w:r>
            <w:r>
              <w:rPr>
                <w:rFonts w:hint="eastAsia" w:ascii="宋体" w:hAnsi="宋体" w:eastAsia="宋体" w:cs="宋体"/>
                <w:bCs/>
                <w:color w:val="auto"/>
                <w:kern w:val="0"/>
                <w:sz w:val="21"/>
                <w:szCs w:val="21"/>
                <w:highlight w:val="none"/>
              </w:rPr>
              <w:t>要求。</w:t>
            </w:r>
          </w:p>
        </w:tc>
        <w:tc>
          <w:tcPr>
            <w:tcW w:w="1153" w:type="dxa"/>
            <w:vAlign w:val="center"/>
          </w:tcPr>
          <w:p>
            <w:pPr>
              <w:widowControl/>
              <w:spacing w:line="280" w:lineRule="exact"/>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restart"/>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p>
        </w:tc>
        <w:tc>
          <w:tcPr>
            <w:tcW w:w="877" w:type="dxa"/>
            <w:vMerge w:val="restart"/>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施工组织设计（25分）</w:t>
            </w:r>
          </w:p>
        </w:tc>
        <w:tc>
          <w:tcPr>
            <w:tcW w:w="1632" w:type="dxa"/>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施工方案与技术措施（10分）</w:t>
            </w:r>
          </w:p>
        </w:tc>
        <w:tc>
          <w:tcPr>
            <w:tcW w:w="9298" w:type="dxa"/>
            <w:shd w:val="clear" w:color="000000" w:fill="FFFFFF"/>
            <w:vAlign w:val="center"/>
          </w:tcPr>
          <w:p>
            <w:pPr>
              <w:widowControl/>
              <w:numPr>
                <w:ilvl w:val="0"/>
                <w:numId w:val="3"/>
              </w:numPr>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对项目总体概况表述是否清晰、完整；</w:t>
            </w:r>
          </w:p>
          <w:p>
            <w:pPr>
              <w:widowControl/>
              <w:numPr>
                <w:ilvl w:val="0"/>
                <w:numId w:val="3"/>
              </w:numPr>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工作部署及技术措施是否先进、可靠；</w:t>
            </w:r>
          </w:p>
          <w:p>
            <w:pPr>
              <w:widowControl/>
              <w:numPr>
                <w:ilvl w:val="0"/>
                <w:numId w:val="3"/>
              </w:numPr>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针对项目实施的重点、难点分析是否透彻，解决方案是否切实可行；</w:t>
            </w:r>
          </w:p>
          <w:p>
            <w:pPr>
              <w:widowControl/>
              <w:numPr>
                <w:ilvl w:val="0"/>
                <w:numId w:val="3"/>
              </w:numPr>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施工平面布置是否有针对性、合理，较好满足施工需要，是否符合安全、文明生产要求等。</w:t>
            </w:r>
          </w:p>
        </w:tc>
        <w:tc>
          <w:tcPr>
            <w:tcW w:w="1153" w:type="dxa"/>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auto" w:fill="auto"/>
            <w:vAlign w:val="center"/>
          </w:tcPr>
          <w:p>
            <w:pPr>
              <w:widowControl/>
              <w:spacing w:line="280" w:lineRule="exact"/>
              <w:jc w:val="center"/>
              <w:rPr>
                <w:rFonts w:hint="eastAsia" w:ascii="宋体" w:hAnsi="宋体" w:eastAsia="宋体" w:cs="宋体"/>
                <w:bCs/>
                <w:color w:val="auto"/>
                <w:kern w:val="0"/>
                <w:sz w:val="21"/>
                <w:szCs w:val="21"/>
                <w:highlight w:val="none"/>
              </w:rPr>
            </w:pPr>
          </w:p>
        </w:tc>
        <w:tc>
          <w:tcPr>
            <w:tcW w:w="877" w:type="dxa"/>
            <w:vMerge w:val="continue"/>
            <w:shd w:val="clear" w:color="auto" w:fill="auto"/>
            <w:vAlign w:val="center"/>
          </w:tcPr>
          <w:p>
            <w:pPr>
              <w:widowControl/>
              <w:spacing w:line="280" w:lineRule="exact"/>
              <w:jc w:val="center"/>
              <w:rPr>
                <w:rFonts w:hint="eastAsia" w:ascii="宋体" w:hAnsi="宋体" w:eastAsia="宋体" w:cs="宋体"/>
                <w:bCs/>
                <w:color w:val="auto"/>
                <w:kern w:val="0"/>
                <w:sz w:val="21"/>
                <w:szCs w:val="21"/>
                <w:highlight w:val="none"/>
              </w:rPr>
            </w:pPr>
          </w:p>
        </w:tc>
        <w:tc>
          <w:tcPr>
            <w:tcW w:w="1632" w:type="dxa"/>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安全管理措施</w:t>
            </w:r>
          </w:p>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（8分）</w:t>
            </w:r>
          </w:p>
        </w:tc>
        <w:tc>
          <w:tcPr>
            <w:tcW w:w="9298" w:type="dxa"/>
            <w:shd w:val="clear" w:color="000000" w:fill="FFFFFF"/>
            <w:vAlign w:val="center"/>
          </w:tcPr>
          <w:p>
            <w:pPr>
              <w:widowControl/>
              <w:numPr>
                <w:ilvl w:val="0"/>
                <w:numId w:val="4"/>
              </w:numPr>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安全目标是否明确，是否优于招标文件的要求；</w:t>
            </w:r>
          </w:p>
          <w:p>
            <w:pPr>
              <w:widowControl/>
              <w:numPr>
                <w:ilvl w:val="0"/>
                <w:numId w:val="4"/>
              </w:numPr>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管理机构是否健全，职责分工是否明确；</w:t>
            </w:r>
          </w:p>
          <w:p>
            <w:pPr>
              <w:widowControl/>
              <w:numPr>
                <w:ilvl w:val="0"/>
                <w:numId w:val="4"/>
              </w:numPr>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管理制度是否齐全；实施与监控措施是否全面、有效等。</w:t>
            </w:r>
          </w:p>
        </w:tc>
        <w:tc>
          <w:tcPr>
            <w:tcW w:w="1153" w:type="dxa"/>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auto" w:fill="auto"/>
            <w:vAlign w:val="center"/>
          </w:tcPr>
          <w:p>
            <w:pPr>
              <w:widowControl/>
              <w:spacing w:line="280" w:lineRule="exact"/>
              <w:jc w:val="center"/>
              <w:rPr>
                <w:rFonts w:hint="eastAsia" w:ascii="宋体" w:hAnsi="宋体" w:eastAsia="宋体" w:cs="宋体"/>
                <w:bCs/>
                <w:color w:val="auto"/>
                <w:kern w:val="0"/>
                <w:sz w:val="21"/>
                <w:szCs w:val="21"/>
                <w:highlight w:val="none"/>
              </w:rPr>
            </w:pPr>
          </w:p>
        </w:tc>
        <w:tc>
          <w:tcPr>
            <w:tcW w:w="877" w:type="dxa"/>
            <w:vMerge w:val="continue"/>
            <w:shd w:val="clear" w:color="auto" w:fill="auto"/>
            <w:vAlign w:val="center"/>
          </w:tcPr>
          <w:p>
            <w:pPr>
              <w:widowControl/>
              <w:spacing w:line="280" w:lineRule="exact"/>
              <w:jc w:val="center"/>
              <w:rPr>
                <w:rFonts w:hint="eastAsia" w:ascii="宋体" w:hAnsi="宋体" w:eastAsia="宋体" w:cs="宋体"/>
                <w:bCs/>
                <w:color w:val="auto"/>
                <w:kern w:val="0"/>
                <w:sz w:val="21"/>
                <w:szCs w:val="21"/>
                <w:highlight w:val="none"/>
              </w:rPr>
            </w:pPr>
          </w:p>
        </w:tc>
        <w:tc>
          <w:tcPr>
            <w:tcW w:w="1632" w:type="dxa"/>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环境保护管理体系与措施（3分）</w:t>
            </w:r>
          </w:p>
        </w:tc>
        <w:tc>
          <w:tcPr>
            <w:tcW w:w="9298" w:type="dxa"/>
            <w:shd w:val="clear" w:color="000000" w:fill="FFFFFF"/>
            <w:vAlign w:val="center"/>
          </w:tcPr>
          <w:p>
            <w:pPr>
              <w:widowControl/>
              <w:numPr>
                <w:ilvl w:val="0"/>
                <w:numId w:val="5"/>
              </w:numPr>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环境管理目标是否明确，是否优于招标文件的要求；</w:t>
            </w:r>
          </w:p>
          <w:p>
            <w:pPr>
              <w:widowControl/>
              <w:numPr>
                <w:ilvl w:val="0"/>
                <w:numId w:val="5"/>
              </w:numPr>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管理机构是否健全，职责分工是否明确；</w:t>
            </w:r>
          </w:p>
          <w:p>
            <w:pPr>
              <w:widowControl/>
              <w:numPr>
                <w:ilvl w:val="0"/>
                <w:numId w:val="5"/>
              </w:numPr>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管理制度是否齐全（是否包含建筑垃圾源头减量、分类处置及扬尘污染防治等相关内容）；</w:t>
            </w:r>
          </w:p>
          <w:p>
            <w:pPr>
              <w:widowControl/>
              <w:numPr>
                <w:ilvl w:val="0"/>
                <w:numId w:val="5"/>
              </w:numPr>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管控措施是否全面、有效等。</w:t>
            </w:r>
          </w:p>
        </w:tc>
        <w:tc>
          <w:tcPr>
            <w:tcW w:w="1153" w:type="dxa"/>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auto" w:fill="auto"/>
            <w:vAlign w:val="center"/>
          </w:tcPr>
          <w:p>
            <w:pPr>
              <w:widowControl/>
              <w:spacing w:line="280" w:lineRule="exact"/>
              <w:jc w:val="center"/>
              <w:rPr>
                <w:rFonts w:hint="eastAsia" w:ascii="宋体" w:hAnsi="宋体" w:eastAsia="宋体" w:cs="宋体"/>
                <w:bCs/>
                <w:color w:val="auto"/>
                <w:kern w:val="0"/>
                <w:sz w:val="21"/>
                <w:szCs w:val="21"/>
                <w:highlight w:val="none"/>
              </w:rPr>
            </w:pPr>
          </w:p>
        </w:tc>
        <w:tc>
          <w:tcPr>
            <w:tcW w:w="877" w:type="dxa"/>
            <w:vMerge w:val="continue"/>
            <w:shd w:val="clear" w:color="auto" w:fill="auto"/>
            <w:vAlign w:val="center"/>
          </w:tcPr>
          <w:p>
            <w:pPr>
              <w:widowControl/>
              <w:spacing w:line="280" w:lineRule="exact"/>
              <w:jc w:val="center"/>
              <w:rPr>
                <w:rFonts w:hint="eastAsia" w:ascii="宋体" w:hAnsi="宋体" w:eastAsia="宋体" w:cs="宋体"/>
                <w:bCs/>
                <w:color w:val="auto"/>
                <w:kern w:val="0"/>
                <w:sz w:val="21"/>
                <w:szCs w:val="21"/>
                <w:highlight w:val="none"/>
              </w:rPr>
            </w:pPr>
          </w:p>
        </w:tc>
        <w:tc>
          <w:tcPr>
            <w:tcW w:w="1632" w:type="dxa"/>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资源配备计划</w:t>
            </w:r>
          </w:p>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（2分）</w:t>
            </w:r>
          </w:p>
        </w:tc>
        <w:tc>
          <w:tcPr>
            <w:tcW w:w="9298" w:type="dxa"/>
            <w:shd w:val="clear" w:color="000000" w:fill="FFFFFF"/>
            <w:vAlign w:val="center"/>
          </w:tcPr>
          <w:p>
            <w:pPr>
              <w:widowControl/>
              <w:numPr>
                <w:ilvl w:val="0"/>
                <w:numId w:val="6"/>
              </w:numPr>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资源投入计划、施工部署、施工方法与进度计划是否能够相互呼应并较好的满足施工需要；</w:t>
            </w:r>
          </w:p>
          <w:p>
            <w:pPr>
              <w:widowControl/>
              <w:numPr>
                <w:ilvl w:val="0"/>
                <w:numId w:val="6"/>
              </w:numPr>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调配投入计划是否合理、准确等。</w:t>
            </w:r>
          </w:p>
        </w:tc>
        <w:tc>
          <w:tcPr>
            <w:tcW w:w="1153" w:type="dxa"/>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auto" w:fill="auto"/>
            <w:vAlign w:val="center"/>
          </w:tcPr>
          <w:p>
            <w:pPr>
              <w:widowControl/>
              <w:spacing w:line="280" w:lineRule="exact"/>
              <w:jc w:val="center"/>
              <w:rPr>
                <w:rFonts w:hint="eastAsia" w:ascii="宋体" w:hAnsi="宋体" w:eastAsia="宋体" w:cs="宋体"/>
                <w:bCs/>
                <w:color w:val="auto"/>
                <w:kern w:val="0"/>
                <w:sz w:val="21"/>
                <w:szCs w:val="21"/>
                <w:highlight w:val="none"/>
              </w:rPr>
            </w:pPr>
          </w:p>
        </w:tc>
        <w:tc>
          <w:tcPr>
            <w:tcW w:w="877" w:type="dxa"/>
            <w:vMerge w:val="continue"/>
            <w:shd w:val="clear" w:color="auto" w:fill="auto"/>
            <w:vAlign w:val="center"/>
          </w:tcPr>
          <w:p>
            <w:pPr>
              <w:widowControl/>
              <w:spacing w:line="280" w:lineRule="exact"/>
              <w:jc w:val="center"/>
              <w:rPr>
                <w:rFonts w:hint="eastAsia" w:ascii="宋体" w:hAnsi="宋体" w:eastAsia="宋体" w:cs="宋体"/>
                <w:bCs/>
                <w:color w:val="auto"/>
                <w:kern w:val="0"/>
                <w:sz w:val="21"/>
                <w:szCs w:val="21"/>
                <w:highlight w:val="none"/>
              </w:rPr>
            </w:pPr>
          </w:p>
        </w:tc>
        <w:tc>
          <w:tcPr>
            <w:tcW w:w="1632" w:type="dxa"/>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BIM工作方案</w:t>
            </w:r>
          </w:p>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（2分）</w:t>
            </w:r>
          </w:p>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□纳入评审</w:t>
            </w:r>
          </w:p>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□不纳入评审</w:t>
            </w:r>
          </w:p>
        </w:tc>
        <w:tc>
          <w:tcPr>
            <w:tcW w:w="9298" w:type="dxa"/>
            <w:shd w:val="clear" w:color="000000" w:fill="FFFFFF"/>
            <w:vAlign w:val="center"/>
          </w:tcPr>
          <w:p>
            <w:pPr>
              <w:widowControl/>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项目实施过程中，BIM组织架构及岗位职责，BIM实施规划及应用价值点，BIM模型及应用的成果形式与交付计划，施工、运维阶段BIM数据有效流转的保障机制等。</w:t>
            </w:r>
          </w:p>
        </w:tc>
        <w:tc>
          <w:tcPr>
            <w:tcW w:w="1153" w:type="dxa"/>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shd w:val="clear" w:color="auto" w:fill="auto"/>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w:t>
            </w:r>
          </w:p>
        </w:tc>
        <w:tc>
          <w:tcPr>
            <w:tcW w:w="2509" w:type="dxa"/>
            <w:gridSpan w:val="2"/>
            <w:shd w:val="clear" w:color="auto" w:fill="auto"/>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内容完整和编制水平</w:t>
            </w:r>
          </w:p>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（2分）</w:t>
            </w:r>
          </w:p>
        </w:tc>
        <w:tc>
          <w:tcPr>
            <w:tcW w:w="9298" w:type="dxa"/>
            <w:shd w:val="clear" w:color="000000" w:fill="FFFFFF"/>
            <w:vAlign w:val="center"/>
          </w:tcPr>
          <w:p>
            <w:pPr>
              <w:widowControl/>
              <w:spacing w:line="280" w:lineRule="exact"/>
              <w:ind w:firstLine="319" w:firstLineChars="158"/>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版面是否整齐，表述是否清晰，内容是否全面、准确，是否图文并茂，是否出现格式等错误，是否超过招标人规定的页数。</w:t>
            </w:r>
          </w:p>
        </w:tc>
        <w:tc>
          <w:tcPr>
            <w:tcW w:w="1153" w:type="dxa"/>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shd w:val="clear" w:color="auto" w:fill="auto"/>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w:t>
            </w:r>
          </w:p>
        </w:tc>
        <w:tc>
          <w:tcPr>
            <w:tcW w:w="2509" w:type="dxa"/>
            <w:gridSpan w:val="2"/>
            <w:shd w:val="clear" w:color="auto" w:fill="auto"/>
            <w:vAlign w:val="center"/>
          </w:tcPr>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其他（8分）</w:t>
            </w:r>
          </w:p>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□纳入评审</w:t>
            </w:r>
          </w:p>
          <w:p>
            <w:pPr>
              <w:widowControl/>
              <w:spacing w:line="2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□不纳入评审</w:t>
            </w:r>
          </w:p>
        </w:tc>
        <w:tc>
          <w:tcPr>
            <w:tcW w:w="9298" w:type="dxa"/>
            <w:shd w:val="clear" w:color="000000" w:fill="FFFFFF"/>
            <w:vAlign w:val="center"/>
          </w:tcPr>
          <w:p>
            <w:pPr>
              <w:widowControl/>
              <w:spacing w:line="28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招标人根据项目实际提出的其他合理要求</w:t>
            </w:r>
          </w:p>
        </w:tc>
        <w:tc>
          <w:tcPr>
            <w:tcW w:w="1153" w:type="dxa"/>
            <w:shd w:val="clear" w:color="000000" w:fill="FFFFFF"/>
            <w:vAlign w:val="center"/>
          </w:tcPr>
          <w:p>
            <w:pPr>
              <w:widowControl/>
              <w:spacing w:line="280" w:lineRule="exact"/>
              <w:jc w:val="center"/>
              <w:rPr>
                <w:rFonts w:hint="eastAsia" w:ascii="宋体" w:hAnsi="宋体" w:eastAsia="宋体" w:cs="宋体"/>
                <w:bCs/>
                <w:color w:val="auto"/>
                <w:kern w:val="0"/>
                <w:sz w:val="21"/>
                <w:szCs w:val="21"/>
                <w:highlight w:val="none"/>
              </w:rPr>
            </w:pPr>
          </w:p>
        </w:tc>
      </w:tr>
    </w:tbl>
    <w:p>
      <w:pPr>
        <w:spacing w:line="480" w:lineRule="exact"/>
        <w:ind w:firstLine="404" w:firstLineChars="200"/>
        <w:rPr>
          <w:rFonts w:hint="eastAsia" w:ascii="宋体" w:hAnsi="宋体"/>
          <w:color w:val="auto"/>
          <w:highlight w:val="none"/>
          <w:lang w:val="en-US" w:eastAsia="zh-CN"/>
        </w:rPr>
      </w:pPr>
      <w:r>
        <w:rPr>
          <w:rFonts w:hint="eastAsia" w:ascii="宋体" w:hAnsi="宋体"/>
          <w:color w:val="auto"/>
          <w:highlight w:val="none"/>
          <w:lang w:val="en-US" w:eastAsia="zh-CN"/>
        </w:rPr>
        <w:t>注：适用于技术方案采用计分评审的项目。</w:t>
      </w:r>
    </w:p>
    <w:p>
      <w:pPr>
        <w:spacing w:line="480" w:lineRule="exact"/>
        <w:ind w:firstLine="404" w:firstLineChars="200"/>
        <w:rPr>
          <w:rFonts w:ascii="宋体" w:hAnsi="宋体"/>
          <w:color w:val="auto"/>
          <w:highlight w:val="none"/>
        </w:rPr>
      </w:pPr>
      <w:r>
        <w:rPr>
          <w:rFonts w:hint="eastAsia" w:ascii="宋体" w:hAnsi="宋体"/>
          <w:color w:val="auto"/>
          <w:highlight w:val="none"/>
        </w:rPr>
        <w:t>1.技术方案评审标准编制要求</w:t>
      </w:r>
    </w:p>
    <w:p>
      <w:pPr>
        <w:spacing w:line="480" w:lineRule="exact"/>
        <w:ind w:firstLine="404"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1</w:t>
      </w:r>
      <w:r>
        <w:rPr>
          <w:rFonts w:hint="eastAsia" w:ascii="宋体" w:hAnsi="宋体"/>
          <w:color w:val="auto"/>
          <w:highlight w:val="none"/>
        </w:rPr>
        <w:t xml:space="preserve"> 技术方案采用暗标方式，招标人</w:t>
      </w:r>
      <w:r>
        <w:rPr>
          <w:rFonts w:ascii="宋体" w:hAnsi="宋体"/>
          <w:color w:val="auto"/>
          <w:highlight w:val="none"/>
        </w:rPr>
        <w:t>可以根据项目实际</w:t>
      </w:r>
      <w:r>
        <w:rPr>
          <w:rFonts w:hint="eastAsia" w:ascii="宋体" w:hAnsi="宋体"/>
          <w:color w:val="auto"/>
          <w:highlight w:val="none"/>
        </w:rPr>
        <w:t>，在招标文件中明确技术</w:t>
      </w:r>
      <w:r>
        <w:rPr>
          <w:rFonts w:ascii="宋体" w:hAnsi="宋体"/>
          <w:color w:val="auto"/>
          <w:highlight w:val="none"/>
        </w:rPr>
        <w:t>方案</w:t>
      </w:r>
      <w:r>
        <w:rPr>
          <w:rFonts w:hint="eastAsia" w:ascii="宋体" w:hAnsi="宋体"/>
          <w:color w:val="auto"/>
          <w:highlight w:val="none"/>
        </w:rPr>
        <w:t>具体页数要求；</w:t>
      </w:r>
    </w:p>
    <w:p>
      <w:pPr>
        <w:spacing w:line="480" w:lineRule="exact"/>
        <w:ind w:firstLine="404"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2</w:t>
      </w:r>
      <w:r>
        <w:rPr>
          <w:rFonts w:hint="eastAsia" w:ascii="宋体" w:hAnsi="宋体"/>
          <w:color w:val="auto"/>
          <w:highlight w:val="none"/>
        </w:rPr>
        <w:t xml:space="preserve"> 计分表中的评审标准为通用模板，招标人可根据项目的实际情况在评审标准的招标人其他要求中进行补充；</w:t>
      </w:r>
    </w:p>
    <w:p>
      <w:pPr>
        <w:spacing w:line="480" w:lineRule="exact"/>
        <w:ind w:firstLine="404"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3</w:t>
      </w:r>
      <w:r>
        <w:rPr>
          <w:rFonts w:hint="eastAsia" w:ascii="宋体" w:hAnsi="宋体"/>
          <w:color w:val="auto"/>
          <w:highlight w:val="none"/>
        </w:rPr>
        <w:t xml:space="preserve"> </w:t>
      </w:r>
      <w:r>
        <w:rPr>
          <w:rFonts w:hint="eastAsia" w:ascii="宋体" w:hAnsi="宋体" w:cs="宋体"/>
          <w:bCs/>
          <w:color w:val="auto"/>
          <w:kern w:val="0"/>
          <w:highlight w:val="none"/>
        </w:rPr>
        <w:t>最高投标限价超过20000万元的项目，应当将BIM工作方案纳入评审；最高投标限价在20000万元以下的项目，</w:t>
      </w:r>
      <w:r>
        <w:rPr>
          <w:rFonts w:hint="eastAsia" w:ascii="宋体" w:hAnsi="宋体"/>
          <w:color w:val="auto"/>
          <w:highlight w:val="none"/>
        </w:rPr>
        <w:t>可以将</w:t>
      </w:r>
      <w:r>
        <w:rPr>
          <w:rFonts w:hint="eastAsia" w:ascii="宋体" w:hAnsi="宋体" w:cs="宋体"/>
          <w:bCs/>
          <w:color w:val="auto"/>
          <w:kern w:val="0"/>
          <w:highlight w:val="none"/>
        </w:rPr>
        <w:t>BIM工作方案纳入评审。</w:t>
      </w:r>
    </w:p>
    <w:p>
      <w:pPr>
        <w:spacing w:line="480" w:lineRule="exact"/>
        <w:ind w:firstLine="404" w:firstLineChars="200"/>
        <w:rPr>
          <w:rFonts w:ascii="宋体" w:hAnsi="宋体"/>
          <w:color w:val="auto"/>
          <w:highlight w:val="none"/>
        </w:rPr>
      </w:pPr>
      <w:r>
        <w:rPr>
          <w:rFonts w:ascii="宋体" w:hAnsi="宋体"/>
          <w:color w:val="auto"/>
          <w:highlight w:val="none"/>
        </w:rPr>
        <w:t>2.技术方案评审要求</w:t>
      </w:r>
    </w:p>
    <w:p>
      <w:pPr>
        <w:spacing w:line="480" w:lineRule="exact"/>
        <w:ind w:firstLine="404" w:firstLineChars="200"/>
        <w:rPr>
          <w:rFonts w:ascii="宋体" w:hAnsi="宋体"/>
          <w:color w:val="auto"/>
          <w:highlight w:val="none"/>
        </w:rPr>
      </w:pPr>
      <w:r>
        <w:rPr>
          <w:rFonts w:ascii="宋体" w:hAnsi="宋体"/>
          <w:color w:val="auto"/>
          <w:highlight w:val="none"/>
        </w:rPr>
        <w:t>2.1由评标委员会独立评审计分</w:t>
      </w:r>
      <w:r>
        <w:rPr>
          <w:rFonts w:hint="eastAsia" w:ascii="宋体" w:hAnsi="宋体"/>
          <w:color w:val="auto"/>
          <w:highlight w:val="none"/>
        </w:rPr>
        <w:t>；</w:t>
      </w:r>
    </w:p>
    <w:p>
      <w:pPr>
        <w:spacing w:line="480" w:lineRule="exact"/>
        <w:ind w:firstLine="404" w:firstLineChars="200"/>
        <w:rPr>
          <w:rFonts w:ascii="宋体" w:hAnsi="宋体"/>
          <w:color w:val="auto"/>
          <w:highlight w:val="none"/>
        </w:rPr>
      </w:pPr>
      <w:r>
        <w:rPr>
          <w:rFonts w:ascii="宋体" w:hAnsi="宋体"/>
          <w:color w:val="auto"/>
          <w:highlight w:val="none"/>
        </w:rPr>
        <w:t>2.2投标文件的“技术方案暗标”内出现投标人名称或者出现任何能直接判断出投标人名称的内容的，技术方案评审计零分</w:t>
      </w:r>
      <w:r>
        <w:rPr>
          <w:rFonts w:hint="eastAsia" w:ascii="宋体" w:hAnsi="宋体"/>
          <w:color w:val="auto"/>
          <w:highlight w:val="none"/>
        </w:rPr>
        <w:t>；</w:t>
      </w:r>
    </w:p>
    <w:p>
      <w:pPr>
        <w:spacing w:line="480" w:lineRule="exact"/>
        <w:ind w:firstLine="404" w:firstLineChars="200"/>
        <w:rPr>
          <w:rFonts w:ascii="宋体" w:hAnsi="宋体"/>
          <w:color w:val="auto"/>
          <w:highlight w:val="none"/>
        </w:rPr>
      </w:pPr>
      <w:r>
        <w:rPr>
          <w:rFonts w:ascii="宋体" w:hAnsi="宋体"/>
          <w:color w:val="auto"/>
          <w:highlight w:val="none"/>
        </w:rPr>
        <w:t>2.3技术方案缺失某项评审项目</w:t>
      </w:r>
      <w:r>
        <w:rPr>
          <w:rFonts w:hint="eastAsia" w:ascii="宋体" w:hAnsi="宋体"/>
          <w:color w:val="auto"/>
          <w:highlight w:val="none"/>
        </w:rPr>
        <w:t>或者某项评审因素明显错误</w:t>
      </w:r>
      <w:r>
        <w:rPr>
          <w:rFonts w:ascii="宋体" w:hAnsi="宋体"/>
          <w:color w:val="auto"/>
          <w:highlight w:val="none"/>
        </w:rPr>
        <w:t>的，该项计零分；</w:t>
      </w:r>
    </w:p>
    <w:p>
      <w:pPr>
        <w:spacing w:line="480" w:lineRule="exact"/>
        <w:ind w:firstLine="404" w:firstLineChars="200"/>
        <w:rPr>
          <w:rFonts w:ascii="宋体" w:hAnsi="宋体"/>
          <w:color w:val="auto"/>
          <w:highlight w:val="none"/>
        </w:rPr>
      </w:pPr>
      <w:r>
        <w:rPr>
          <w:rFonts w:ascii="宋体" w:hAnsi="宋体"/>
          <w:color w:val="auto"/>
          <w:highlight w:val="none"/>
        </w:rPr>
        <w:t>2.4评标委员会成员对单项评审项目评审应当在规定的区间内计分，评标委员会成员对各项因素</w:t>
      </w:r>
      <w:r>
        <w:rPr>
          <w:rFonts w:hint="eastAsia" w:ascii="宋体" w:hAnsi="宋体"/>
          <w:color w:val="auto"/>
          <w:highlight w:val="none"/>
        </w:rPr>
        <w:t>（内容完整和编制水平除外）</w:t>
      </w:r>
      <w:r>
        <w:rPr>
          <w:rFonts w:ascii="宋体" w:hAnsi="宋体"/>
          <w:color w:val="auto"/>
          <w:highlight w:val="none"/>
        </w:rPr>
        <w:t>的评分不得低于招标文件规定该因素满分值的80%；评分低于满分值8</w:t>
      </w:r>
      <w:r>
        <w:rPr>
          <w:rFonts w:hint="eastAsia" w:ascii="宋体" w:hAnsi="宋体"/>
          <w:color w:val="auto"/>
          <w:highlight w:val="none"/>
          <w:lang w:val="en-US" w:eastAsia="zh-CN"/>
        </w:rPr>
        <w:t>5</w:t>
      </w:r>
      <w:r>
        <w:rPr>
          <w:rFonts w:ascii="宋体" w:hAnsi="宋体"/>
          <w:color w:val="auto"/>
          <w:highlight w:val="none"/>
        </w:rPr>
        <w:t>%的或高于满分分值9</w:t>
      </w:r>
      <w:r>
        <w:rPr>
          <w:rFonts w:hint="eastAsia" w:ascii="宋体" w:hAnsi="宋体"/>
          <w:color w:val="auto"/>
          <w:highlight w:val="none"/>
          <w:lang w:val="en-US" w:eastAsia="zh-CN"/>
        </w:rPr>
        <w:t>5</w:t>
      </w:r>
      <w:r>
        <w:rPr>
          <w:rFonts w:ascii="宋体" w:hAnsi="宋体"/>
          <w:color w:val="auto"/>
          <w:highlight w:val="none"/>
        </w:rPr>
        <w:t>%的，评标委员会成员应当在评标报告中作出说明</w:t>
      </w:r>
      <w:r>
        <w:rPr>
          <w:rFonts w:hint="eastAsia" w:ascii="宋体" w:hAnsi="宋体"/>
          <w:color w:val="auto"/>
          <w:highlight w:val="none"/>
        </w:rPr>
        <w:t>并注明详细理由和依据,不得采用笼统或简单的“好、一般、差”等表述；</w:t>
      </w:r>
    </w:p>
    <w:p>
      <w:pPr>
        <w:spacing w:line="480" w:lineRule="exact"/>
        <w:ind w:firstLine="404" w:firstLineChars="200"/>
        <w:rPr>
          <w:rFonts w:ascii="宋体" w:hAnsi="宋体"/>
          <w:color w:val="auto"/>
          <w:highlight w:val="none"/>
        </w:rPr>
      </w:pPr>
      <w:r>
        <w:rPr>
          <w:rFonts w:ascii="宋体" w:hAnsi="宋体"/>
          <w:color w:val="auto"/>
          <w:highlight w:val="none"/>
        </w:rPr>
        <w:t>2.5</w:t>
      </w:r>
      <w:r>
        <w:rPr>
          <w:rFonts w:hint="eastAsia" w:ascii="宋体" w:hAnsi="宋体"/>
          <w:color w:val="auto"/>
          <w:highlight w:val="none"/>
        </w:rPr>
        <w:t>投标文件</w:t>
      </w:r>
      <w:r>
        <w:rPr>
          <w:rFonts w:ascii="宋体" w:hAnsi="宋体"/>
          <w:color w:val="auto"/>
          <w:highlight w:val="none"/>
        </w:rPr>
        <w:t>页数超过招标文件规定页数的，</w:t>
      </w:r>
      <w:r>
        <w:rPr>
          <w:rFonts w:hint="eastAsia" w:ascii="宋体" w:hAnsi="宋体"/>
          <w:color w:val="auto"/>
          <w:highlight w:val="none"/>
        </w:rPr>
        <w:t>由</w:t>
      </w:r>
      <w:r>
        <w:rPr>
          <w:rFonts w:ascii="宋体" w:hAnsi="宋体"/>
          <w:color w:val="auto"/>
          <w:highlight w:val="none"/>
        </w:rPr>
        <w:t>评标委员会</w:t>
      </w:r>
      <w:r>
        <w:rPr>
          <w:rFonts w:hint="eastAsia" w:ascii="宋体" w:hAnsi="宋体"/>
          <w:color w:val="auto"/>
          <w:highlight w:val="none"/>
        </w:rPr>
        <w:t>对其必要性进行</w:t>
      </w:r>
      <w:r>
        <w:rPr>
          <w:rFonts w:ascii="宋体" w:hAnsi="宋体"/>
          <w:color w:val="auto"/>
          <w:highlight w:val="none"/>
        </w:rPr>
        <w:t>评审</w:t>
      </w:r>
      <w:r>
        <w:rPr>
          <w:rFonts w:hint="eastAsia" w:ascii="宋体" w:hAnsi="宋体"/>
          <w:color w:val="auto"/>
          <w:highlight w:val="none"/>
        </w:rPr>
        <w:t>，可在内容完整和编制水平</w:t>
      </w:r>
      <w:r>
        <w:rPr>
          <w:rFonts w:ascii="宋体" w:hAnsi="宋体"/>
          <w:color w:val="auto"/>
          <w:highlight w:val="none"/>
        </w:rPr>
        <w:t>中予以扣分</w:t>
      </w:r>
      <w:r>
        <w:rPr>
          <w:rFonts w:hint="eastAsia" w:ascii="宋体" w:hAnsi="宋体"/>
          <w:color w:val="auto"/>
          <w:highlight w:val="none"/>
        </w:rPr>
        <w:t>；</w:t>
      </w:r>
    </w:p>
    <w:p>
      <w:pPr>
        <w:spacing w:line="480" w:lineRule="exact"/>
        <w:ind w:firstLine="404" w:firstLineChars="200"/>
        <w:rPr>
          <w:rFonts w:ascii="宋体" w:hAnsi="宋体"/>
          <w:color w:val="auto"/>
          <w:highlight w:val="none"/>
        </w:rPr>
      </w:pPr>
      <w:r>
        <w:rPr>
          <w:rFonts w:ascii="宋体" w:hAnsi="宋体"/>
          <w:color w:val="auto"/>
          <w:highlight w:val="none"/>
        </w:rPr>
        <w:t>2.6</w:t>
      </w:r>
      <w:r>
        <w:rPr>
          <w:rFonts w:hint="eastAsia" w:ascii="宋体" w:hAnsi="宋体"/>
          <w:color w:val="auto"/>
          <w:highlight w:val="none"/>
        </w:rPr>
        <w:t>投标人的技术方案得分为去掉评审总分的一个最高分和一个最低分后的算术平均值。</w:t>
      </w:r>
    </w:p>
    <w:p>
      <w:pPr>
        <w:spacing w:line="480" w:lineRule="exact"/>
        <w:ind w:firstLine="404" w:firstLineChars="200"/>
        <w:rPr>
          <w:rFonts w:ascii="宋体" w:hAnsi="宋体"/>
          <w:color w:val="auto"/>
          <w:highlight w:val="none"/>
        </w:rPr>
      </w:pPr>
    </w:p>
    <w:p>
      <w:pPr>
        <w:spacing w:line="480" w:lineRule="exact"/>
        <w:rPr>
          <w:rFonts w:ascii="仿宋_GB2312" w:hAnsi="仿宋" w:cs="仿宋_GB2312"/>
          <w:b/>
          <w:color w:val="auto"/>
          <w:kern w:val="0"/>
          <w:sz w:val="28"/>
          <w:szCs w:val="28"/>
          <w:highlight w:val="none"/>
        </w:rPr>
        <w:sectPr>
          <w:pgSz w:w="16838" w:h="11906" w:orient="landscape"/>
          <w:pgMar w:top="1417" w:right="1417" w:bottom="1417" w:left="1417" w:header="1701" w:footer="1134" w:gutter="0"/>
          <w:paperSrc/>
          <w:cols w:space="0" w:num="1"/>
          <w:rtlGutter w:val="0"/>
          <w:docGrid w:type="linesAndChars" w:linePitch="574" w:charSpace="-1683"/>
        </w:sectPr>
      </w:pPr>
    </w:p>
    <w:bookmarkEnd w:id="0"/>
    <w:p>
      <w:pPr>
        <w:widowControl/>
        <w:shd w:val="clear" w:color="auto" w:fill="FFFFFF"/>
        <w:spacing w:line="480" w:lineRule="exact"/>
        <w:jc w:val="center"/>
        <w:rPr>
          <w:rFonts w:ascii="仿宋_GB2312" w:hAnsi="宋体" w:eastAsia="仿宋_GB2312" w:cs="宋体"/>
          <w:b/>
          <w:color w:val="auto"/>
          <w:sz w:val="32"/>
          <w:szCs w:val="32"/>
          <w:highlight w:val="none"/>
        </w:rPr>
      </w:pPr>
      <w:r>
        <w:rPr>
          <w:rFonts w:hint="eastAsia" w:ascii="仿宋_GB2312" w:hAnsi="宋体" w:eastAsia="仿宋_GB2312"/>
          <w:b/>
          <w:color w:val="auto"/>
          <w:kern w:val="0"/>
          <w:sz w:val="32"/>
          <w:szCs w:val="32"/>
          <w:highlight w:val="none"/>
        </w:rPr>
        <w:t>附表3</w:t>
      </w:r>
      <w:r>
        <w:rPr>
          <w:rFonts w:hint="eastAsia" w:ascii="仿宋_GB2312" w:hAnsi="宋体" w:eastAsia="仿宋_GB2312" w:cs="仿宋_GB2312"/>
          <w:b/>
          <w:color w:val="auto"/>
          <w:kern w:val="0"/>
          <w:sz w:val="32"/>
          <w:szCs w:val="32"/>
          <w:highlight w:val="none"/>
        </w:rPr>
        <w:t>：</w:t>
      </w:r>
      <w:r>
        <w:rPr>
          <w:rFonts w:hint="eastAsia" w:ascii="仿宋_GB2312" w:hAnsi="宋体" w:eastAsia="仿宋_GB2312" w:cs="宋体"/>
          <w:b/>
          <w:color w:val="auto"/>
          <w:sz w:val="32"/>
          <w:szCs w:val="32"/>
          <w:highlight w:val="none"/>
        </w:rPr>
        <w:t>企业资信及履约能力评审计分表</w:t>
      </w:r>
    </w:p>
    <w:tbl>
      <w:tblPr>
        <w:tblStyle w:val="4"/>
        <w:tblW w:w="14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1146"/>
        <w:gridCol w:w="1215"/>
        <w:gridCol w:w="930"/>
        <w:gridCol w:w="1350"/>
        <w:gridCol w:w="5273"/>
        <w:gridCol w:w="1869"/>
        <w:gridCol w:w="704"/>
        <w:gridCol w:w="706"/>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blHeader/>
          <w:jc w:val="center"/>
        </w:trPr>
        <w:tc>
          <w:tcPr>
            <w:tcW w:w="489" w:type="dxa"/>
            <w:vMerge w:val="restart"/>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361" w:type="dxa"/>
            <w:gridSpan w:val="2"/>
            <w:vMerge w:val="restart"/>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930" w:type="dxa"/>
            <w:vMerge w:val="restart"/>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       分值</w:t>
            </w:r>
          </w:p>
        </w:tc>
        <w:tc>
          <w:tcPr>
            <w:tcW w:w="6623" w:type="dxa"/>
            <w:gridSpan w:val="2"/>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c>
          <w:tcPr>
            <w:tcW w:w="1869" w:type="dxa"/>
            <w:vMerge w:val="restart"/>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选取方式</w:t>
            </w:r>
          </w:p>
        </w:tc>
        <w:tc>
          <w:tcPr>
            <w:tcW w:w="2116" w:type="dxa"/>
            <w:gridSpan w:val="3"/>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blHeader/>
          <w:jc w:val="center"/>
        </w:trPr>
        <w:tc>
          <w:tcPr>
            <w:tcW w:w="489"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2361" w:type="dxa"/>
            <w:gridSpan w:val="2"/>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930"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350"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类别</w:t>
            </w:r>
          </w:p>
        </w:tc>
        <w:tc>
          <w:tcPr>
            <w:tcW w:w="5273"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数量和分值</w:t>
            </w:r>
          </w:p>
        </w:tc>
        <w:tc>
          <w:tcPr>
            <w:tcW w:w="1869"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704"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计分制</w:t>
            </w: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最低分</w:t>
            </w: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489" w:type="dxa"/>
            <w:vAlign w:val="center"/>
          </w:tcPr>
          <w:p>
            <w:pPr>
              <w:widowControl/>
              <w:spacing w:line="28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114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独立投标人</w:t>
            </w:r>
          </w:p>
        </w:tc>
        <w:tc>
          <w:tcPr>
            <w:tcW w:w="1215"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设计-施工一体化</w:t>
            </w:r>
          </w:p>
        </w:tc>
        <w:tc>
          <w:tcPr>
            <w:tcW w:w="930" w:type="dxa"/>
            <w:vAlign w:val="center"/>
          </w:tcPr>
          <w:p>
            <w:pPr>
              <w:widowControl/>
              <w:spacing w:line="28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w:t>
            </w:r>
          </w:p>
        </w:tc>
        <w:tc>
          <w:tcPr>
            <w:tcW w:w="1350"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5273"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同时具备满足项目要求的设计和施工资质</w:t>
            </w:r>
          </w:p>
        </w:tc>
        <w:tc>
          <w:tcPr>
            <w:tcW w:w="1869"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招标人根据项目实际选择</w:t>
            </w:r>
          </w:p>
        </w:tc>
        <w:tc>
          <w:tcPr>
            <w:tcW w:w="704"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加分制</w:t>
            </w: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489" w:type="dxa"/>
            <w:vMerge w:val="restart"/>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146" w:type="dxa"/>
            <w:vMerge w:val="restart"/>
            <w:vAlign w:val="center"/>
          </w:tcPr>
          <w:p>
            <w:pPr>
              <w:widowControl/>
              <w:spacing w:line="280" w:lineRule="exact"/>
              <w:jc w:val="center"/>
              <w:rPr>
                <w:rFonts w:hint="eastAsia" w:ascii="宋体" w:hAnsi="宋体" w:eastAsia="宋体" w:cs="宋体"/>
                <w:color w:val="auto"/>
                <w:kern w:val="0"/>
                <w:sz w:val="24"/>
                <w:szCs w:val="24"/>
                <w:highlight w:val="none"/>
              </w:rPr>
            </w:pPr>
            <w:bookmarkStart w:id="1" w:name="_Hlk63001888"/>
            <w:r>
              <w:rPr>
                <w:rFonts w:hint="eastAsia" w:ascii="宋体" w:hAnsi="宋体" w:eastAsia="宋体" w:cs="宋体"/>
                <w:color w:val="auto"/>
                <w:kern w:val="0"/>
                <w:sz w:val="24"/>
                <w:szCs w:val="24"/>
                <w:highlight w:val="none"/>
              </w:rPr>
              <w:t>独立投标人(</w:t>
            </w:r>
            <w:bookmarkStart w:id="2" w:name="_Hlk68266565"/>
            <w:r>
              <w:rPr>
                <w:rFonts w:hint="eastAsia" w:ascii="宋体" w:hAnsi="宋体" w:eastAsia="宋体" w:cs="宋体"/>
                <w:color w:val="auto"/>
                <w:kern w:val="0"/>
                <w:sz w:val="24"/>
                <w:szCs w:val="24"/>
                <w:highlight w:val="none"/>
              </w:rPr>
              <w:t>设计资质)或联合体中设计单位</w:t>
            </w:r>
            <w:bookmarkEnd w:id="1"/>
            <w:bookmarkEnd w:id="2"/>
          </w:p>
        </w:tc>
        <w:tc>
          <w:tcPr>
            <w:tcW w:w="1215" w:type="dxa"/>
            <w:vMerge w:val="restart"/>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优良信息</w:t>
            </w:r>
          </w:p>
        </w:tc>
        <w:tc>
          <w:tcPr>
            <w:tcW w:w="930" w:type="dxa"/>
            <w:vMerge w:val="restart"/>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350" w:type="dxa"/>
            <w:vMerge w:val="restart"/>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奖项</w:t>
            </w:r>
          </w:p>
        </w:tc>
        <w:tc>
          <w:tcPr>
            <w:tcW w:w="5273"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国家级优秀工程设计奖，每个1.2分。</w:t>
            </w:r>
          </w:p>
        </w:tc>
        <w:tc>
          <w:tcPr>
            <w:tcW w:w="1869" w:type="dxa"/>
            <w:vMerge w:val="restart"/>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招标人根据项目规模及评标办法相关规定选择</w:t>
            </w:r>
          </w:p>
        </w:tc>
        <w:tc>
          <w:tcPr>
            <w:tcW w:w="704" w:type="dxa"/>
            <w:vMerge w:val="restart"/>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加分制</w:t>
            </w: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489"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146"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215"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930"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350"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5273"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省级优秀工程设计奖，每个1分。</w:t>
            </w:r>
          </w:p>
        </w:tc>
        <w:tc>
          <w:tcPr>
            <w:tcW w:w="1869"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704"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489"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146"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215"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类似工程业绩</w:t>
            </w:r>
          </w:p>
        </w:tc>
        <w:tc>
          <w:tcPr>
            <w:tcW w:w="930"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350"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业绩</w:t>
            </w:r>
          </w:p>
        </w:tc>
        <w:tc>
          <w:tcPr>
            <w:tcW w:w="5273"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工程总承包</w:t>
            </w:r>
            <w:r>
              <w:rPr>
                <w:rFonts w:hint="eastAsia" w:ascii="宋体" w:hAnsi="宋体" w:eastAsia="宋体" w:cs="宋体"/>
                <w:color w:val="auto"/>
                <w:kern w:val="0"/>
                <w:sz w:val="24"/>
                <w:szCs w:val="24"/>
                <w:highlight w:val="none"/>
                <w:lang w:val="en-US" w:eastAsia="zh-CN"/>
              </w:rPr>
              <w:t>中的设计</w:t>
            </w:r>
            <w:r>
              <w:rPr>
                <w:rFonts w:hint="eastAsia" w:ascii="宋体" w:hAnsi="宋体" w:eastAsia="宋体" w:cs="宋体"/>
                <w:color w:val="auto"/>
                <w:kern w:val="0"/>
                <w:sz w:val="24"/>
                <w:szCs w:val="24"/>
                <w:highlight w:val="none"/>
              </w:rPr>
              <w:t>业绩每个2分；</w:t>
            </w:r>
          </w:p>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设计业绩每个1.5分。</w:t>
            </w:r>
          </w:p>
        </w:tc>
        <w:tc>
          <w:tcPr>
            <w:tcW w:w="1869"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招标人根据项目实际选择</w:t>
            </w:r>
          </w:p>
        </w:tc>
        <w:tc>
          <w:tcPr>
            <w:tcW w:w="704"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加分制</w:t>
            </w: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489"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146"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215"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信用</w:t>
            </w:r>
          </w:p>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评价</w:t>
            </w:r>
          </w:p>
        </w:tc>
        <w:tc>
          <w:tcPr>
            <w:tcW w:w="930"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350"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设计招标投标信用评价</w:t>
            </w:r>
          </w:p>
        </w:tc>
        <w:tc>
          <w:tcPr>
            <w:tcW w:w="5273" w:type="dxa"/>
            <w:vAlign w:val="center"/>
          </w:tcPr>
          <w:p>
            <w:pPr>
              <w:widowControl/>
              <w:spacing w:line="28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独立投标人或联合体中设计单位获得的省级设计招标投标信用评价得分*10%。</w:t>
            </w:r>
          </w:p>
        </w:tc>
        <w:tc>
          <w:tcPr>
            <w:tcW w:w="1869"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必选项</w:t>
            </w:r>
          </w:p>
        </w:tc>
        <w:tc>
          <w:tcPr>
            <w:tcW w:w="704"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扣分制</w:t>
            </w: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9" w:type="dxa"/>
            <w:vMerge w:val="restart"/>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146" w:type="dxa"/>
            <w:vMerge w:val="restart"/>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独立投标人(施工资质)或联合体中施工单位</w:t>
            </w:r>
          </w:p>
        </w:tc>
        <w:tc>
          <w:tcPr>
            <w:tcW w:w="1215" w:type="dxa"/>
            <w:vMerge w:val="restart"/>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优良信息</w:t>
            </w:r>
          </w:p>
        </w:tc>
        <w:tc>
          <w:tcPr>
            <w:tcW w:w="930" w:type="dxa"/>
            <w:vMerge w:val="restart"/>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350" w:type="dxa"/>
            <w:vMerge w:val="restart"/>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奖项</w:t>
            </w:r>
          </w:p>
        </w:tc>
        <w:tc>
          <w:tcPr>
            <w:tcW w:w="5273"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鲁班奖，每个2分；</w:t>
            </w:r>
          </w:p>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国家优质工程奖，每个1.7分。</w:t>
            </w:r>
          </w:p>
        </w:tc>
        <w:tc>
          <w:tcPr>
            <w:tcW w:w="1869" w:type="dxa"/>
            <w:vMerge w:val="restart"/>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招标人根据项目规模及评标办法相关规定选择</w:t>
            </w:r>
          </w:p>
        </w:tc>
        <w:tc>
          <w:tcPr>
            <w:tcW w:w="704" w:type="dxa"/>
            <w:vMerge w:val="restart"/>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加分制</w:t>
            </w: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9"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146"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215"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930"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350"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5273"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省级</w:t>
            </w:r>
            <w:r>
              <w:rPr>
                <w:rFonts w:hint="eastAsia" w:ascii="宋体" w:hAnsi="宋体" w:eastAsia="宋体"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rPr>
              <w:t>工程质量奖，每个1.5分；</w:t>
            </w:r>
          </w:p>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省级优质工程奖，每个1分。</w:t>
            </w:r>
          </w:p>
        </w:tc>
        <w:tc>
          <w:tcPr>
            <w:tcW w:w="1869"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704"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9"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146"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215"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930" w:type="dxa"/>
            <w:vMerge w:val="restart"/>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350" w:type="dxa"/>
            <w:vMerge w:val="restart"/>
            <w:vAlign w:val="center"/>
          </w:tcPr>
          <w:p>
            <w:pPr>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标准化</w:t>
            </w:r>
          </w:p>
          <w:p>
            <w:pPr>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工地</w:t>
            </w:r>
          </w:p>
        </w:tc>
        <w:tc>
          <w:tcPr>
            <w:tcW w:w="5273"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国家建设工程项目施工工地安全生产标准化学习交流项目，每个1分。</w:t>
            </w:r>
          </w:p>
        </w:tc>
        <w:tc>
          <w:tcPr>
            <w:tcW w:w="1869"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704"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9"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146"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215"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930"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350" w:type="dxa"/>
            <w:vMerge w:val="continue"/>
            <w:vAlign w:val="center"/>
          </w:tcPr>
          <w:p>
            <w:pPr>
              <w:spacing w:line="280" w:lineRule="exact"/>
              <w:jc w:val="center"/>
              <w:rPr>
                <w:rFonts w:hint="eastAsia" w:ascii="宋体" w:hAnsi="宋体" w:eastAsia="宋体" w:cs="宋体"/>
                <w:color w:val="auto"/>
                <w:kern w:val="0"/>
                <w:sz w:val="24"/>
                <w:szCs w:val="24"/>
                <w:highlight w:val="none"/>
              </w:rPr>
            </w:pPr>
          </w:p>
        </w:tc>
        <w:tc>
          <w:tcPr>
            <w:tcW w:w="5273"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省级建筑施工安全生产标准化年度项目考评优良工地，每个0.25分。</w:t>
            </w:r>
          </w:p>
        </w:tc>
        <w:tc>
          <w:tcPr>
            <w:tcW w:w="1869"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704"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706" w:type="dxa"/>
            <w:vAlign w:val="center"/>
          </w:tcPr>
          <w:p>
            <w:pPr>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p>
        </w:tc>
        <w:tc>
          <w:tcPr>
            <w:tcW w:w="706" w:type="dxa"/>
            <w:vAlign w:val="center"/>
          </w:tcPr>
          <w:p>
            <w:pPr>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9"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146"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215"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930" w:type="dxa"/>
            <w:vAlign w:val="center"/>
          </w:tcPr>
          <w:p>
            <w:pPr>
              <w:widowControl/>
              <w:spacing w:line="28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p>
        </w:tc>
        <w:tc>
          <w:tcPr>
            <w:tcW w:w="1350" w:type="dxa"/>
            <w:vAlign w:val="center"/>
          </w:tcPr>
          <w:p>
            <w:pPr>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绿色科技创新指标</w:t>
            </w:r>
          </w:p>
        </w:tc>
        <w:tc>
          <w:tcPr>
            <w:tcW w:w="5273"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三星级绿色建筑、AAA级装配式建筑,每个1分；</w:t>
            </w:r>
          </w:p>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二星级绿色建筑、AA级装配式建筑,每个0.8分；</w:t>
            </w:r>
          </w:p>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省级绿色施工工程，每个0.3分。</w:t>
            </w:r>
          </w:p>
        </w:tc>
        <w:tc>
          <w:tcPr>
            <w:tcW w:w="1869"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704"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706" w:type="dxa"/>
            <w:vAlign w:val="center"/>
          </w:tcPr>
          <w:p>
            <w:pPr>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p>
        </w:tc>
        <w:tc>
          <w:tcPr>
            <w:tcW w:w="706" w:type="dxa"/>
            <w:vAlign w:val="center"/>
          </w:tcPr>
          <w:p>
            <w:pPr>
              <w:spacing w:line="28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9"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146"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215"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930"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350" w:type="dxa"/>
            <w:vAlign w:val="center"/>
          </w:tcPr>
          <w:p>
            <w:pPr>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施工项目季度考评综合优良率</w:t>
            </w:r>
          </w:p>
        </w:tc>
        <w:tc>
          <w:tcPr>
            <w:tcW w:w="5273"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施工项目季度考评综合优良率得分</w:t>
            </w:r>
          </w:p>
        </w:tc>
        <w:tc>
          <w:tcPr>
            <w:tcW w:w="1869" w:type="dxa"/>
            <w:vAlign w:val="center"/>
          </w:tcPr>
          <w:p>
            <w:pPr>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必选项</w:t>
            </w:r>
          </w:p>
        </w:tc>
        <w:tc>
          <w:tcPr>
            <w:tcW w:w="704" w:type="dxa"/>
            <w:vMerge w:val="continue"/>
            <w:vAlign w:val="center"/>
          </w:tcPr>
          <w:p>
            <w:pPr>
              <w:widowControl/>
              <w:ind w:left="-173" w:leftChars="-86" w:right="-129" w:rightChars="-64"/>
              <w:jc w:val="center"/>
              <w:rPr>
                <w:rFonts w:hint="eastAsia" w:ascii="宋体" w:hAnsi="宋体" w:eastAsia="宋体" w:cs="宋体"/>
                <w:color w:val="auto"/>
                <w:kern w:val="0"/>
                <w:sz w:val="24"/>
                <w:szCs w:val="24"/>
                <w:highlight w:val="none"/>
              </w:rPr>
            </w:pPr>
          </w:p>
        </w:tc>
        <w:tc>
          <w:tcPr>
            <w:tcW w:w="706" w:type="dxa"/>
            <w:vAlign w:val="center"/>
          </w:tcPr>
          <w:p>
            <w:pPr>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p>
        </w:tc>
        <w:tc>
          <w:tcPr>
            <w:tcW w:w="706" w:type="dxa"/>
            <w:vAlign w:val="center"/>
          </w:tcPr>
          <w:p>
            <w:pPr>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489"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146"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215"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类似工程业绩</w:t>
            </w:r>
          </w:p>
        </w:tc>
        <w:tc>
          <w:tcPr>
            <w:tcW w:w="930"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350"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业绩</w:t>
            </w:r>
          </w:p>
        </w:tc>
        <w:tc>
          <w:tcPr>
            <w:tcW w:w="5273"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工程总承包</w:t>
            </w:r>
            <w:r>
              <w:rPr>
                <w:rFonts w:hint="eastAsia" w:ascii="宋体" w:hAnsi="宋体" w:eastAsia="宋体" w:cs="宋体"/>
                <w:color w:val="auto"/>
                <w:kern w:val="0"/>
                <w:sz w:val="24"/>
                <w:szCs w:val="24"/>
                <w:highlight w:val="none"/>
                <w:lang w:val="en-US" w:eastAsia="zh-CN"/>
              </w:rPr>
              <w:t>中的施工</w:t>
            </w:r>
            <w:r>
              <w:rPr>
                <w:rFonts w:hint="eastAsia" w:ascii="宋体" w:hAnsi="宋体" w:eastAsia="宋体" w:cs="宋体"/>
                <w:color w:val="auto"/>
                <w:kern w:val="0"/>
                <w:sz w:val="24"/>
                <w:szCs w:val="24"/>
                <w:highlight w:val="none"/>
              </w:rPr>
              <w:t>业绩每个2分；</w:t>
            </w:r>
          </w:p>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施工业绩每个1.5分。</w:t>
            </w:r>
          </w:p>
        </w:tc>
        <w:tc>
          <w:tcPr>
            <w:tcW w:w="1869"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招标人根据项目实际选择</w:t>
            </w:r>
          </w:p>
        </w:tc>
        <w:tc>
          <w:tcPr>
            <w:tcW w:w="704"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9"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146"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1215"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信用</w:t>
            </w:r>
          </w:p>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评价</w:t>
            </w:r>
          </w:p>
        </w:tc>
        <w:tc>
          <w:tcPr>
            <w:tcW w:w="930"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w:t>
            </w:r>
          </w:p>
        </w:tc>
        <w:tc>
          <w:tcPr>
            <w:tcW w:w="1350"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施工招标投标信用评价</w:t>
            </w:r>
          </w:p>
        </w:tc>
        <w:tc>
          <w:tcPr>
            <w:tcW w:w="5273"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独立投标人或联合体中施工单位获得的省级施工招标投标信用评价得分×30%。</w:t>
            </w:r>
          </w:p>
        </w:tc>
        <w:tc>
          <w:tcPr>
            <w:tcW w:w="1869"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必选项</w:t>
            </w:r>
          </w:p>
        </w:tc>
        <w:tc>
          <w:tcPr>
            <w:tcW w:w="704" w:type="dxa"/>
            <w:vMerge w:val="continue"/>
            <w:vAlign w:val="center"/>
          </w:tcPr>
          <w:p>
            <w:pPr>
              <w:widowControl/>
              <w:spacing w:line="280" w:lineRule="exact"/>
              <w:jc w:val="center"/>
              <w:rPr>
                <w:rFonts w:hint="eastAsia" w:ascii="宋体" w:hAnsi="宋体" w:eastAsia="宋体" w:cs="宋体"/>
                <w:color w:val="auto"/>
                <w:kern w:val="0"/>
                <w:sz w:val="24"/>
                <w:szCs w:val="24"/>
                <w:highlight w:val="none"/>
              </w:rPr>
            </w:pP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9"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14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拟任工程总承包负责人</w:t>
            </w:r>
          </w:p>
        </w:tc>
        <w:tc>
          <w:tcPr>
            <w:tcW w:w="1215"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不良信用信息</w:t>
            </w:r>
          </w:p>
        </w:tc>
        <w:tc>
          <w:tcPr>
            <w:tcW w:w="930" w:type="dxa"/>
            <w:vAlign w:val="center"/>
          </w:tcPr>
          <w:p>
            <w:pPr>
              <w:widowControl/>
              <w:spacing w:line="28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4</w:t>
            </w:r>
          </w:p>
        </w:tc>
        <w:tc>
          <w:tcPr>
            <w:tcW w:w="6623" w:type="dxa"/>
            <w:gridSpan w:val="2"/>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工程总承包负责人存在信用评价不良信用信息的，根据不良信用信息类型，按照表后注解对应的分值进行扣除。</w:t>
            </w:r>
          </w:p>
        </w:tc>
        <w:tc>
          <w:tcPr>
            <w:tcW w:w="1869"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必选项</w:t>
            </w:r>
          </w:p>
        </w:tc>
        <w:tc>
          <w:tcPr>
            <w:tcW w:w="704"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扣分制</w:t>
            </w: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p>
        </w:tc>
        <w:tc>
          <w:tcPr>
            <w:tcW w:w="706" w:type="dxa"/>
            <w:vAlign w:val="center"/>
          </w:tcPr>
          <w:p>
            <w:pPr>
              <w:widowControl/>
              <w:spacing w:line="28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4</w:t>
            </w:r>
          </w:p>
        </w:tc>
      </w:tr>
    </w:tbl>
    <w:p>
      <w:pPr>
        <w:snapToGrid w:val="0"/>
        <w:ind w:firstLine="464" w:firstLineChars="200"/>
        <w:rPr>
          <w:rFonts w:hint="eastAsia" w:ascii="宋体" w:hAnsi="宋体" w:eastAsia="宋体" w:cs="宋体"/>
          <w:color w:val="auto"/>
          <w:sz w:val="24"/>
          <w:highlight w:val="none"/>
        </w:rPr>
      </w:pPr>
      <w:bookmarkStart w:id="3" w:name="_Hlk67584066"/>
      <w:r>
        <w:rPr>
          <w:rFonts w:hint="eastAsia" w:ascii="宋体" w:hAnsi="宋体" w:eastAsia="宋体" w:cs="宋体"/>
          <w:color w:val="auto"/>
          <w:sz w:val="24"/>
          <w:highlight w:val="none"/>
        </w:rPr>
        <w:t>注：</w:t>
      </w:r>
    </w:p>
    <w:p>
      <w:pPr>
        <w:snapToGrid w:val="0"/>
        <w:ind w:firstLine="464" w:firstLineChars="200"/>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．优良信息：</w:t>
      </w:r>
    </w:p>
    <w:p>
      <w:pPr>
        <w:snapToGrid w:val="0"/>
        <w:ind w:firstLine="464" w:firstLineChars="200"/>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.1选择规则</w:t>
      </w:r>
    </w:p>
    <w:p>
      <w:pPr>
        <w:snapToGrid w:val="0"/>
        <w:ind w:firstLine="464" w:firstLineChars="200"/>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.1.1  最高投标限价≥20000万元的工程总承包项目、最高投标限价≥3000万元的专业工程总承包项目，优良信息中的奖项和标准化工地应当按照下列规则选择评审数量：设计资质或联合体中设计单位国家级和省级（省、自治区、直辖市，下同）奖项评审数量可由招标人根据项目实际情况分别从0-2个中进行选择；施工资质或联合体中施工单位国家级和省级奖项可由招标人根据项目实际情况分别从1-3个中进行选择；国家建设工程项目施工工地安全生产标准化学习交流项目评审数量可由招标人根据项目实际情况从1-2个中进行选择；省级建筑施工安全生产标准化年度项目考评优良工地评审数量可由招标人根据项目实际情况从10-20个中进行选择；绿色科技创新相关指标评审</w:t>
      </w:r>
      <w:r>
        <w:rPr>
          <w:rFonts w:hint="eastAsia" w:ascii="宋体" w:hAnsi="宋体" w:cs="宋体"/>
          <w:b w:val="0"/>
          <w:bCs w:val="0"/>
          <w:color w:val="auto"/>
          <w:sz w:val="24"/>
          <w:highlight w:val="none"/>
          <w:lang w:val="en-US" w:eastAsia="zh-CN"/>
        </w:rPr>
        <w:t>分值</w:t>
      </w:r>
      <w:r>
        <w:rPr>
          <w:rFonts w:hint="eastAsia" w:ascii="宋体" w:hAnsi="宋体" w:eastAsia="宋体" w:cs="宋体"/>
          <w:b w:val="0"/>
          <w:bCs w:val="0"/>
          <w:color w:val="auto"/>
          <w:sz w:val="24"/>
          <w:highlight w:val="none"/>
        </w:rPr>
        <w:t>可由招标人根据项目实际情况从0-</w:t>
      </w:r>
      <w:r>
        <w:rPr>
          <w:rFonts w:hint="eastAsia" w:ascii="宋体" w:hAnsi="宋体" w:cs="宋体"/>
          <w:b w:val="0"/>
          <w:bCs w:val="0"/>
          <w:color w:val="auto"/>
          <w:sz w:val="24"/>
          <w:highlight w:val="none"/>
          <w:lang w:val="en-US" w:eastAsia="zh-CN"/>
        </w:rPr>
        <w:t>3分</w:t>
      </w:r>
      <w:r>
        <w:rPr>
          <w:rFonts w:hint="eastAsia" w:ascii="宋体" w:hAnsi="宋体" w:eastAsia="宋体" w:cs="宋体"/>
          <w:b w:val="0"/>
          <w:bCs w:val="0"/>
          <w:color w:val="auto"/>
          <w:sz w:val="24"/>
          <w:highlight w:val="none"/>
        </w:rPr>
        <w:t>中进行选择；</w:t>
      </w:r>
    </w:p>
    <w:p>
      <w:pPr>
        <w:snapToGrid w:val="0"/>
        <w:ind w:firstLine="464" w:firstLineChars="200"/>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.1.2</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 xml:space="preserve"> 5000万元≤最高投标限价＜20000万元的工程总承包项目、1</w:t>
      </w:r>
      <w:r>
        <w:rPr>
          <w:rFonts w:hint="eastAsia" w:ascii="宋体" w:hAnsi="宋体" w:eastAsia="宋体" w:cs="宋体"/>
          <w:b w:val="0"/>
          <w:bCs w:val="0"/>
          <w:color w:val="auto"/>
          <w:sz w:val="24"/>
          <w:highlight w:val="none"/>
          <w:lang w:val="en-US" w:eastAsia="zh-CN"/>
        </w:rPr>
        <w:t>5</w:t>
      </w:r>
      <w:r>
        <w:rPr>
          <w:rFonts w:hint="eastAsia" w:ascii="宋体" w:hAnsi="宋体" w:eastAsia="宋体" w:cs="宋体"/>
          <w:b w:val="0"/>
          <w:bCs w:val="0"/>
          <w:color w:val="auto"/>
          <w:sz w:val="24"/>
          <w:highlight w:val="none"/>
        </w:rPr>
        <w:t>00万元≤最高投标限价＜3000万元的专业工程总承包项目，优良信息中的奖项和标准化工地应当按照下列规则选择评审数量：设计资质或联合体中设计单位国家级和省级奖项评审数量可由招标人根据项目实际情况分别从0-1个中进行选择；施工资质或联合体中施工单位国家级和省级奖项可由招标人根据项目实际情况分别从0-2个中进行选择；国家建设工程项目施工工地安全生产标准化学习交流项目评审数量可由招标人根据项目实际情况从0-2个中进行选择；省级建筑施工安全生产标准化年度项目考评优良工地评审数量可由招标人根据项目实际情况从0-10个中进行选择；绿色科技创新相关指标评审</w:t>
      </w:r>
      <w:r>
        <w:rPr>
          <w:rFonts w:hint="eastAsia" w:ascii="宋体" w:hAnsi="宋体" w:cs="宋体"/>
          <w:b w:val="0"/>
          <w:bCs w:val="0"/>
          <w:color w:val="auto"/>
          <w:sz w:val="24"/>
          <w:highlight w:val="none"/>
          <w:lang w:val="en-US" w:eastAsia="zh-CN"/>
        </w:rPr>
        <w:t>分值</w:t>
      </w:r>
      <w:r>
        <w:rPr>
          <w:rFonts w:hint="eastAsia" w:ascii="宋体" w:hAnsi="宋体" w:eastAsia="宋体" w:cs="宋体"/>
          <w:b w:val="0"/>
          <w:bCs w:val="0"/>
          <w:color w:val="auto"/>
          <w:sz w:val="24"/>
          <w:highlight w:val="none"/>
        </w:rPr>
        <w:t>可由招标人根据项目实际情况从0-</w:t>
      </w:r>
      <w:r>
        <w:rPr>
          <w:rFonts w:hint="eastAsia" w:ascii="宋体" w:hAnsi="宋体" w:cs="宋体"/>
          <w:b w:val="0"/>
          <w:bCs w:val="0"/>
          <w:color w:val="auto"/>
          <w:sz w:val="24"/>
          <w:highlight w:val="none"/>
          <w:lang w:val="en-US" w:eastAsia="zh-CN"/>
        </w:rPr>
        <w:t>2分</w:t>
      </w:r>
      <w:r>
        <w:rPr>
          <w:rFonts w:hint="eastAsia" w:ascii="宋体" w:hAnsi="宋体" w:eastAsia="宋体" w:cs="宋体"/>
          <w:b w:val="0"/>
          <w:bCs w:val="0"/>
          <w:color w:val="auto"/>
          <w:sz w:val="24"/>
          <w:highlight w:val="none"/>
        </w:rPr>
        <w:t>中进行选择；</w:t>
      </w:r>
    </w:p>
    <w:p>
      <w:pPr>
        <w:snapToGrid w:val="0"/>
        <w:ind w:firstLine="464" w:firstLineChars="200"/>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.1.3  最高投标限价＜5000万元的工程总承包项目、最高投标限价＜1</w:t>
      </w:r>
      <w:r>
        <w:rPr>
          <w:rFonts w:hint="eastAsia" w:ascii="宋体" w:hAnsi="宋体" w:eastAsia="宋体" w:cs="宋体"/>
          <w:b w:val="0"/>
          <w:bCs w:val="0"/>
          <w:color w:val="auto"/>
          <w:sz w:val="24"/>
          <w:highlight w:val="none"/>
          <w:lang w:val="en-US" w:eastAsia="zh-CN"/>
        </w:rPr>
        <w:t>5</w:t>
      </w:r>
      <w:r>
        <w:rPr>
          <w:rFonts w:hint="eastAsia" w:ascii="宋体" w:hAnsi="宋体" w:eastAsia="宋体" w:cs="宋体"/>
          <w:b w:val="0"/>
          <w:bCs w:val="0"/>
          <w:color w:val="auto"/>
          <w:sz w:val="24"/>
          <w:highlight w:val="none"/>
        </w:rPr>
        <w:t>00万元的专业工程总承包项目，优良信息中的奖项、标准化工地和绿色科技创新指标不得列入评审计分范围；</w:t>
      </w:r>
    </w:p>
    <w:p>
      <w:pPr>
        <w:snapToGrid w:val="0"/>
        <w:ind w:firstLine="464" w:firstLineChars="200"/>
        <w:rPr>
          <w:rFonts w:hint="eastAsia" w:ascii="宋体" w:hAnsi="宋体" w:eastAsia="宋体" w:cs="宋体"/>
          <w:bCs/>
          <w:color w:val="auto"/>
          <w:sz w:val="24"/>
          <w:highlight w:val="none"/>
        </w:rPr>
      </w:pP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.1.4  对符合</w:t>
      </w: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.1.2条款规定的项目（专业工程除外），在选择国家级奖项列入评审计分范围时，须满足下述指标之一：（1）建筑面</w:t>
      </w:r>
      <w:r>
        <w:rPr>
          <w:rFonts w:hint="eastAsia" w:ascii="宋体" w:hAnsi="宋体" w:eastAsia="宋体" w:cs="宋体"/>
          <w:bCs/>
          <w:color w:val="auto"/>
          <w:sz w:val="24"/>
          <w:highlight w:val="none"/>
        </w:rPr>
        <w:t>积5万平方米以上的住宅工程；（2）建筑面积2万平方米以上的其他单体建筑工程；（3）日供水10万吨以上的供水厂或日处理10万吨以上的污水处理厂；（4）路面面积20万平方米以上的城市道路工程或桥面面积3万平方米以上的城市立交桥工程；（5）最高投标限价在10000万元以上的工程。</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.1.5  绿色发展及科技创新加分规定</w:t>
      </w:r>
    </w:p>
    <w:p>
      <w:pPr>
        <w:snapToGrid w:val="0"/>
        <w:ind w:firstLine="464"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招标项目中包含绿色建筑</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装配式建筑</w:t>
      </w:r>
      <w:r>
        <w:rPr>
          <w:rFonts w:hint="eastAsia" w:ascii="宋体" w:hAnsi="宋体" w:eastAsia="宋体" w:cs="宋体"/>
          <w:bCs/>
          <w:color w:val="auto"/>
          <w:sz w:val="24"/>
          <w:highlight w:val="none"/>
          <w:lang w:val="en-US" w:eastAsia="zh-CN"/>
        </w:rPr>
        <w:t>或者绿色施工</w:t>
      </w:r>
      <w:r>
        <w:rPr>
          <w:rFonts w:hint="eastAsia" w:ascii="宋体" w:hAnsi="宋体" w:eastAsia="宋体" w:cs="宋体"/>
          <w:bCs/>
          <w:color w:val="auto"/>
          <w:sz w:val="24"/>
          <w:highlight w:val="none"/>
        </w:rPr>
        <w:t>内容要求的，招标人可</w:t>
      </w:r>
      <w:r>
        <w:rPr>
          <w:rFonts w:hint="eastAsia" w:ascii="宋体" w:hAnsi="宋体" w:eastAsia="宋体" w:cs="宋体"/>
          <w:bCs/>
          <w:color w:val="auto"/>
          <w:sz w:val="24"/>
          <w:highlight w:val="none"/>
          <w:lang w:val="en-US" w:eastAsia="zh-CN"/>
        </w:rPr>
        <w:t>按照</w:t>
      </w:r>
      <w:r>
        <w:rPr>
          <w:rFonts w:hint="eastAsia" w:ascii="宋体" w:hAnsi="宋体" w:cs="宋体"/>
          <w:bCs/>
          <w:color w:val="auto"/>
          <w:sz w:val="24"/>
          <w:highlight w:val="none"/>
          <w:lang w:val="en-US" w:eastAsia="zh-CN"/>
        </w:rPr>
        <w:t>1</w:t>
      </w:r>
      <w:r>
        <w:rPr>
          <w:rFonts w:hint="eastAsia" w:ascii="宋体" w:hAnsi="宋体" w:eastAsia="宋体" w:cs="宋体"/>
          <w:bCs/>
          <w:color w:val="auto"/>
          <w:sz w:val="24"/>
          <w:highlight w:val="none"/>
          <w:lang w:val="en-US" w:eastAsia="zh-CN"/>
        </w:rPr>
        <w:t>.1.1-</w:t>
      </w:r>
      <w:r>
        <w:rPr>
          <w:rFonts w:hint="eastAsia" w:ascii="宋体" w:hAnsi="宋体" w:cs="宋体"/>
          <w:bCs/>
          <w:color w:val="auto"/>
          <w:sz w:val="24"/>
          <w:highlight w:val="none"/>
          <w:lang w:val="en-US" w:eastAsia="zh-CN"/>
        </w:rPr>
        <w:t>1</w:t>
      </w:r>
      <w:r>
        <w:rPr>
          <w:rFonts w:hint="eastAsia" w:ascii="宋体" w:hAnsi="宋体" w:eastAsia="宋体" w:cs="宋体"/>
          <w:bCs/>
          <w:color w:val="auto"/>
          <w:sz w:val="24"/>
          <w:highlight w:val="none"/>
          <w:lang w:val="en-US" w:eastAsia="zh-CN"/>
        </w:rPr>
        <w:t>.1.3规定选择</w:t>
      </w:r>
      <w:r>
        <w:rPr>
          <w:rFonts w:hint="eastAsia" w:ascii="宋体" w:hAnsi="宋体" w:eastAsia="宋体" w:cs="宋体"/>
          <w:bCs/>
          <w:color w:val="auto"/>
          <w:sz w:val="24"/>
          <w:highlight w:val="none"/>
        </w:rPr>
        <w:t>绿色建筑</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三星级绿色建筑</w:t>
      </w:r>
      <w:r>
        <w:rPr>
          <w:rFonts w:hint="eastAsia" w:ascii="宋体" w:hAnsi="宋体" w:eastAsia="宋体" w:cs="宋体"/>
          <w:bCs/>
          <w:color w:val="auto"/>
          <w:sz w:val="24"/>
          <w:highlight w:val="none"/>
          <w:lang w:val="en-US" w:eastAsia="zh-CN"/>
        </w:rPr>
        <w:t>每个1分、二星级绿色建筑每个0.8分)、装配式建筑（</w:t>
      </w:r>
      <w:r>
        <w:rPr>
          <w:rFonts w:hint="eastAsia" w:ascii="宋体" w:hAnsi="宋体" w:eastAsia="宋体" w:cs="宋体"/>
          <w:bCs/>
          <w:color w:val="auto"/>
          <w:sz w:val="24"/>
          <w:highlight w:val="none"/>
        </w:rPr>
        <w:t>AAA级装配式建筑</w:t>
      </w:r>
      <w:r>
        <w:rPr>
          <w:rFonts w:hint="eastAsia" w:ascii="宋体" w:hAnsi="宋体" w:eastAsia="宋体" w:cs="宋体"/>
          <w:bCs/>
          <w:color w:val="auto"/>
          <w:sz w:val="24"/>
          <w:highlight w:val="none"/>
          <w:lang w:val="en-US" w:eastAsia="zh-CN"/>
        </w:rPr>
        <w:t>每个1分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AA级装配式建筑</w:t>
      </w:r>
      <w:r>
        <w:rPr>
          <w:rFonts w:hint="eastAsia" w:ascii="宋体" w:hAnsi="宋体" w:eastAsia="宋体" w:cs="宋体"/>
          <w:bCs/>
          <w:color w:val="auto"/>
          <w:sz w:val="24"/>
          <w:highlight w:val="none"/>
          <w:lang w:val="en-US" w:eastAsia="zh-CN"/>
        </w:rPr>
        <w:t>每个0.8分）、绿色施工（</w:t>
      </w:r>
      <w:r>
        <w:rPr>
          <w:rFonts w:hint="eastAsia" w:ascii="宋体" w:hAnsi="宋体" w:eastAsia="宋体" w:cs="宋体"/>
          <w:bCs/>
          <w:color w:val="auto"/>
          <w:sz w:val="24"/>
          <w:highlight w:val="none"/>
        </w:rPr>
        <w:t>省级绿色施工工程</w:t>
      </w:r>
      <w:r>
        <w:rPr>
          <w:rFonts w:hint="eastAsia" w:ascii="宋体" w:hAnsi="宋体" w:eastAsia="宋体" w:cs="宋体"/>
          <w:bCs/>
          <w:color w:val="auto"/>
          <w:sz w:val="24"/>
          <w:highlight w:val="none"/>
          <w:lang w:val="en-US" w:eastAsia="zh-CN"/>
        </w:rPr>
        <w:t>每个0.3分）加分，分别以</w:t>
      </w:r>
      <w:r>
        <w:rPr>
          <w:rFonts w:hint="eastAsia" w:ascii="宋体" w:hAnsi="宋体" w:eastAsia="宋体" w:cs="宋体"/>
          <w:bCs/>
          <w:color w:val="auto"/>
          <w:sz w:val="24"/>
          <w:highlight w:val="none"/>
        </w:rPr>
        <w:t>住房和城乡建设部</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省级住房和城乡建设部门</w:t>
      </w:r>
      <w:r>
        <w:rPr>
          <w:rFonts w:hint="eastAsia" w:ascii="宋体" w:hAnsi="宋体" w:eastAsia="宋体" w:cs="宋体"/>
          <w:bCs/>
          <w:color w:val="auto"/>
          <w:sz w:val="24"/>
          <w:highlight w:val="none"/>
          <w:lang w:val="en-US" w:eastAsia="zh-CN"/>
        </w:rPr>
        <w:t>公布文件为准。</w:t>
      </w:r>
    </w:p>
    <w:p>
      <w:pPr>
        <w:snapToGrid w:val="0"/>
        <w:ind w:firstLine="464"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1</w:t>
      </w:r>
      <w:r>
        <w:rPr>
          <w:rFonts w:hint="eastAsia" w:ascii="宋体" w:hAnsi="宋体" w:eastAsia="宋体" w:cs="宋体"/>
          <w:bCs/>
          <w:color w:val="auto"/>
          <w:sz w:val="24"/>
          <w:highlight w:val="none"/>
        </w:rPr>
        <w:t>.2  评审期限和依据</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国家级奖项计分有效期为提交投标文件截止时间前2年，标准化工地、省级奖项和绿色科技创新指标的有效期为提交投标文件截止时间前1年，自发文次日计算起、止时间。</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奖项和标准化工地评审依据以</w:t>
      </w:r>
      <w:r>
        <w:rPr>
          <w:rFonts w:hint="eastAsia" w:ascii="宋体" w:hAnsi="宋体" w:eastAsia="宋体" w:cs="宋体"/>
          <w:bCs/>
          <w:color w:val="auto"/>
          <w:sz w:val="24"/>
          <w:highlight w:val="none"/>
          <w:lang w:eastAsia="zh-CN"/>
        </w:rPr>
        <w:t>公布</w:t>
      </w:r>
      <w:r>
        <w:rPr>
          <w:rFonts w:hint="eastAsia" w:ascii="宋体" w:hAnsi="宋体" w:eastAsia="宋体" w:cs="宋体"/>
          <w:bCs/>
          <w:color w:val="auto"/>
          <w:sz w:val="24"/>
          <w:highlight w:val="none"/>
        </w:rPr>
        <w:t>的文件为准。省内省级</w:t>
      </w:r>
      <w:r>
        <w:rPr>
          <w:rFonts w:hint="eastAsia" w:ascii="宋体" w:hAnsi="宋体" w:eastAsia="宋体" w:cs="宋体"/>
          <w:color w:val="auto"/>
          <w:sz w:val="24"/>
          <w:highlight w:val="none"/>
        </w:rPr>
        <w:t>综合工程质量奖为芙蓉奖，省级优质工程奖为湖南省优质工程奖</w:t>
      </w:r>
      <w:r>
        <w:rPr>
          <w:rFonts w:hint="eastAsia" w:ascii="宋体" w:hAnsi="宋体" w:eastAsia="宋体" w:cs="宋体"/>
          <w:color w:val="auto"/>
          <w:sz w:val="24"/>
          <w:highlight w:val="none"/>
          <w:lang w:eastAsia="zh-CN"/>
        </w:rPr>
        <w:t>，省级优秀工程设计奖</w:t>
      </w:r>
      <w:r>
        <w:rPr>
          <w:rFonts w:hint="eastAsia" w:ascii="宋体" w:hAnsi="宋体" w:eastAsia="宋体" w:cs="宋体"/>
          <w:color w:val="auto"/>
          <w:sz w:val="24"/>
          <w:highlight w:val="none"/>
          <w:lang w:val="en-US" w:eastAsia="zh-CN"/>
        </w:rPr>
        <w:t>为湖南省</w:t>
      </w:r>
      <w:r>
        <w:rPr>
          <w:rFonts w:hint="eastAsia" w:ascii="宋体" w:hAnsi="宋体" w:eastAsia="宋体" w:cs="宋体"/>
          <w:color w:val="auto"/>
          <w:sz w:val="24"/>
          <w:highlight w:val="none"/>
          <w:lang w:eastAsia="zh-CN"/>
        </w:rPr>
        <w:t>优秀工程勘察设计奖</w:t>
      </w:r>
      <w:r>
        <w:rPr>
          <w:rFonts w:hint="eastAsia" w:ascii="宋体" w:hAnsi="宋体" w:eastAsia="宋体" w:cs="宋体"/>
          <w:color w:val="auto"/>
          <w:sz w:val="24"/>
          <w:highlight w:val="none"/>
        </w:rPr>
        <w:t>。省外由省级建设行政主管部门或省级建筑业协会、省级勘察设计协会评定的省级优质工程奖、</w:t>
      </w:r>
      <w:r>
        <w:rPr>
          <w:rFonts w:hint="eastAsia" w:ascii="宋体" w:hAnsi="宋体" w:eastAsia="宋体" w:cs="宋体"/>
          <w:color w:val="auto"/>
          <w:kern w:val="0"/>
          <w:sz w:val="24"/>
          <w:highlight w:val="none"/>
        </w:rPr>
        <w:t>优秀工程设计奖</w:t>
      </w:r>
      <w:r>
        <w:rPr>
          <w:rFonts w:hint="eastAsia" w:ascii="宋体" w:hAnsi="宋体" w:eastAsia="宋体" w:cs="宋体"/>
          <w:color w:val="auto"/>
          <w:sz w:val="24"/>
          <w:highlight w:val="none"/>
        </w:rPr>
        <w:t>，在当地省级建设行政主管部门</w:t>
      </w:r>
      <w:r>
        <w:rPr>
          <w:rFonts w:hint="eastAsia" w:ascii="宋体" w:hAnsi="宋体" w:eastAsia="宋体" w:cs="宋体"/>
          <w:color w:val="auto"/>
          <w:sz w:val="24"/>
          <w:highlight w:val="none"/>
          <w:lang w:eastAsia="zh-CN"/>
        </w:rPr>
        <w:t>公布</w:t>
      </w:r>
      <w:r>
        <w:rPr>
          <w:rFonts w:hint="eastAsia" w:ascii="宋体" w:hAnsi="宋体" w:eastAsia="宋体" w:cs="宋体"/>
          <w:color w:val="auto"/>
          <w:sz w:val="24"/>
          <w:highlight w:val="none"/>
        </w:rPr>
        <w:t>的评标办法中加分的，分别按省级优质工程奖、</w:t>
      </w:r>
      <w:r>
        <w:rPr>
          <w:rFonts w:hint="eastAsia" w:ascii="宋体" w:hAnsi="宋体" w:eastAsia="宋体" w:cs="宋体"/>
          <w:color w:val="auto"/>
          <w:kern w:val="0"/>
          <w:sz w:val="24"/>
          <w:highlight w:val="none"/>
        </w:rPr>
        <w:t>省级优秀工程设计奖对应</w:t>
      </w:r>
      <w:r>
        <w:rPr>
          <w:rFonts w:hint="eastAsia" w:ascii="宋体" w:hAnsi="宋体" w:eastAsia="宋体" w:cs="宋体"/>
          <w:color w:val="auto"/>
          <w:sz w:val="24"/>
          <w:highlight w:val="none"/>
        </w:rPr>
        <w:t>加分；投标人如能提供评奖当年省级优质工程奖项数量控制在 100 项以内 (含)的，则该获奖工程按省级综合工程质量奖加分。如该奖项年度内多批次</w:t>
      </w:r>
      <w:r>
        <w:rPr>
          <w:rFonts w:hint="eastAsia" w:ascii="宋体" w:hAnsi="宋体" w:eastAsia="宋体" w:cs="宋体"/>
          <w:color w:val="auto"/>
          <w:sz w:val="24"/>
          <w:highlight w:val="none"/>
          <w:lang w:eastAsia="zh-CN"/>
        </w:rPr>
        <w:t>公布</w:t>
      </w:r>
      <w:r>
        <w:rPr>
          <w:rFonts w:hint="eastAsia" w:ascii="宋体" w:hAnsi="宋体" w:eastAsia="宋体" w:cs="宋体"/>
          <w:color w:val="auto"/>
          <w:sz w:val="24"/>
          <w:highlight w:val="none"/>
        </w:rPr>
        <w:t>的，奖项数量按上年度各批次累计总数为准。</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2024年及以后省内省级建筑施工安全生产标准化年度项目考评优良工地指标为湖南省建筑施工安全质量标准化年度项目考评优良工地。</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.3  加分规则</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.3.1  设计奖项</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根据招标项目的特征明确设计奖项类别，招标项目为房屋建筑总承包项目的，对应建筑设计、传统建筑设计、住宅与住宅小区设计奖进行加分；招标项目为市政总承包项目的,对应市政公用工程设计综合奖进行加分；在国家级、省级奖项规定的个数和对应最高分不变的情况下，招标人还可以根据项目实际建设需求和技术特征，将</w:t>
      </w:r>
      <w:r>
        <w:rPr>
          <w:rFonts w:hint="eastAsia" w:ascii="宋体" w:hAnsi="宋体" w:cs="宋体"/>
          <w:color w:val="auto"/>
          <w:sz w:val="24"/>
          <w:highlight w:val="none"/>
          <w:lang w:val="en-US" w:eastAsia="zh-CN"/>
        </w:rPr>
        <w:t>专项设计奖中与招标项目类型相对应的</w:t>
      </w:r>
      <w:r>
        <w:rPr>
          <w:rFonts w:hint="eastAsia" w:ascii="宋体" w:hAnsi="宋体" w:eastAsia="宋体" w:cs="宋体"/>
          <w:color w:val="auto"/>
          <w:sz w:val="24"/>
          <w:highlight w:val="none"/>
        </w:rPr>
        <w:t>专项奖纳入评审。招标项目为园林绿化工程的，对应优秀园林景观设计专项奖加分。设计单位有两个以上的，分别按照评审计分表中规定分值的1／2计取。招标项目为专业工程的，设计奖项均不计分。</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.3.2  施工奖项</w:t>
      </w:r>
    </w:p>
    <w:p>
      <w:pPr>
        <w:snapToGrid w:val="0"/>
        <w:ind w:firstLine="464"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项目为总承包工程的，招标项目工程类型与获奖工程的专业类别不一致，则该获奖工程不予计分；以专业资质获得的奖项不予计分。同一标段承建单位有两个以上的，分别按照评审计分表中规定分值的1／2计取</w:t>
      </w:r>
      <w:r>
        <w:rPr>
          <w:rFonts w:hint="eastAsia" w:ascii="宋体" w:hAnsi="宋体" w:cs="宋体"/>
          <w:color w:val="auto"/>
          <w:sz w:val="24"/>
          <w:highlight w:val="none"/>
          <w:lang w:eastAsia="zh-CN"/>
        </w:rPr>
        <w:t>。</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工程为园林绿化工程的，国家级奖项仅对中国人居环境范例奖（园林绿化获奖项目）加分（每个2分），以住房和城乡建设部公布文件为准；省级奖项仅对省级园林绿化优质工程加分（每个1分），以省级园林绿化协会公布文件为准。国家级、省级奖项规定的个数和对应最高分不变；优良信息中的标准化工地、绿化科技创新指标不加分。</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招标项目为专业工程的，仅对以同专业资质获得的相应奖项计分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专业工程获奖项目</w:t>
      </w:r>
      <w:r>
        <w:rPr>
          <w:rFonts w:hint="eastAsia" w:ascii="宋体" w:hAnsi="宋体" w:eastAsia="宋体" w:cs="宋体"/>
          <w:color w:val="auto"/>
          <w:sz w:val="24"/>
          <w:highlight w:val="none"/>
          <w:lang w:val="en-US" w:eastAsia="zh-CN"/>
        </w:rPr>
        <w:t>承建（</w:t>
      </w:r>
      <w:r>
        <w:rPr>
          <w:rFonts w:hint="eastAsia" w:ascii="宋体" w:hAnsi="宋体" w:eastAsia="宋体" w:cs="宋体"/>
          <w:color w:val="auto"/>
          <w:sz w:val="24"/>
          <w:highlight w:val="none"/>
        </w:rPr>
        <w:t>参建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单位有两个以上的，按照评审计分表中的计分规则计取。以总承包资质获得的奖项不予计分。</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.3.3  标准化工地</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项目为房屋建筑总承包和市政总承包工程的，招标项目工程类型与标准化工地的工程类型不一致，则该标准化工地不予计分，即：房屋建筑工程招标不对获得标准化工地的市政基础设施工程计分，市政基础设施工程招标不对获得标准化工地的房屋建筑工程计分；以专业资质获得的标准化工地不予计分；同一标段承建单位有两个以上的，分别按照评审计分表中规定分值的1／2计取；</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（2）招标项目为专业工程的，仅对以同专业资质获得的相应标准化工地计分。专业工程</w:t>
      </w:r>
      <w:r>
        <w:rPr>
          <w:rFonts w:hint="eastAsia" w:ascii="宋体" w:hAnsi="宋体" w:eastAsia="宋体" w:cs="宋体"/>
          <w:color w:val="auto"/>
          <w:sz w:val="24"/>
          <w:highlight w:val="none"/>
          <w:lang w:val="en-US" w:eastAsia="zh-CN"/>
        </w:rPr>
        <w:t>标准化工地承建（</w:t>
      </w:r>
      <w:r>
        <w:rPr>
          <w:rFonts w:hint="eastAsia" w:ascii="宋体" w:hAnsi="宋体" w:eastAsia="宋体" w:cs="宋体"/>
          <w:color w:val="auto"/>
          <w:sz w:val="24"/>
          <w:highlight w:val="none"/>
        </w:rPr>
        <w:t>参建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单位有两个及以上的，按照评审计分表中规定分值计取。以总承包资质获得的标准化工地不予计分。</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.4  同一工程的奖项、标准化工地、绿色科技创新指标加分规则</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同一工程的奖项、标准化工地、绿色科技创新指标，</w:t>
      </w:r>
      <w:r>
        <w:rPr>
          <w:rFonts w:hint="eastAsia" w:ascii="宋体" w:hAnsi="宋体" w:eastAsia="宋体" w:cs="宋体"/>
          <w:color w:val="auto"/>
          <w:sz w:val="24"/>
          <w:highlight w:val="none"/>
          <w:lang w:val="en-US" w:eastAsia="zh-CN"/>
        </w:rPr>
        <w:t>分别</w:t>
      </w:r>
      <w:r>
        <w:rPr>
          <w:rFonts w:hint="eastAsia" w:ascii="宋体" w:hAnsi="宋体" w:eastAsia="宋体" w:cs="宋体"/>
          <w:color w:val="auto"/>
          <w:sz w:val="24"/>
          <w:highlight w:val="none"/>
        </w:rPr>
        <w:t>按照</w:t>
      </w:r>
      <w:r>
        <w:rPr>
          <w:rFonts w:hint="eastAsia" w:ascii="宋体" w:hAnsi="宋体" w:eastAsia="宋体" w:cs="宋体"/>
          <w:color w:val="auto"/>
          <w:sz w:val="24"/>
          <w:highlight w:val="none"/>
          <w:lang w:val="en-US" w:eastAsia="zh-CN"/>
        </w:rPr>
        <w:t>得分最高的分值</w:t>
      </w:r>
      <w:r>
        <w:rPr>
          <w:rFonts w:hint="eastAsia" w:ascii="宋体" w:hAnsi="宋体" w:eastAsia="宋体" w:cs="宋体"/>
          <w:color w:val="auto"/>
          <w:sz w:val="24"/>
          <w:highlight w:val="none"/>
        </w:rPr>
        <w:t>计算一次。</w:t>
      </w:r>
    </w:p>
    <w:p>
      <w:pPr>
        <w:snapToGrid w:val="0"/>
        <w:ind w:firstLine="464" w:firstLineChars="200"/>
        <w:rPr>
          <w:rFonts w:hint="eastAsia" w:ascii="宋体" w:hAnsi="宋体" w:eastAsia="宋体" w:cs="宋体"/>
          <w:color w:val="auto"/>
          <w:sz w:val="24"/>
          <w:highlight w:val="none"/>
        </w:rPr>
      </w:pPr>
      <w:bookmarkStart w:id="4" w:name="_Hlk72395723"/>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w:t>
      </w:r>
      <w:bookmarkStart w:id="5" w:name="_Hlk72395743"/>
      <w:r>
        <w:rPr>
          <w:rFonts w:hint="eastAsia" w:ascii="宋体" w:hAnsi="宋体" w:eastAsia="宋体" w:cs="宋体"/>
          <w:color w:val="auto"/>
          <w:sz w:val="24"/>
          <w:highlight w:val="none"/>
        </w:rPr>
        <w:t xml:space="preserve">5  </w:t>
      </w:r>
      <w:bookmarkEnd w:id="4"/>
      <w:bookmarkEnd w:id="5"/>
      <w:r>
        <w:rPr>
          <w:rFonts w:hint="eastAsia" w:ascii="宋体" w:hAnsi="宋体" w:eastAsia="宋体" w:cs="宋体"/>
          <w:color w:val="auto"/>
          <w:sz w:val="24"/>
          <w:highlight w:val="none"/>
        </w:rPr>
        <w:t>奖项、标准化工地的专业类别认定</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获奖文件能够分辨专业类别的，以获奖文件为准；获奖文件中无法分辨专业类别的，以奖项申报材料（须提供省级相应行政主管部门或省级协会盖章的相应材料）中载明的专业类别为准；仍然无法辨别专业类别的，须提供获奖项目的中标通知书或合同作为证明材料；以上证明材料均无法辨别项目专业类别的，该奖项、标准化工地等不予计分。</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 信用评价</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.1  设计单位信用评价</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设计单位信用评价</w:t>
      </w:r>
      <w:r>
        <w:rPr>
          <w:rFonts w:hint="eastAsia" w:ascii="宋体" w:hAnsi="宋体" w:eastAsia="宋体" w:cs="宋体"/>
          <w:color w:val="auto"/>
          <w:sz w:val="24"/>
          <w:highlight w:val="none"/>
          <w:lang w:val="en-US" w:eastAsia="zh-CN"/>
        </w:rPr>
        <w:t>以</w:t>
      </w:r>
      <w:r>
        <w:rPr>
          <w:rFonts w:hint="eastAsia" w:ascii="宋体" w:hAnsi="宋体" w:eastAsia="宋体" w:cs="宋体"/>
          <w:color w:val="auto"/>
          <w:sz w:val="24"/>
          <w:highlight w:val="none"/>
        </w:rPr>
        <w:t>提交投标文件截止之时最新公布的信用评价</w:t>
      </w:r>
      <w:r>
        <w:rPr>
          <w:rFonts w:hint="eastAsia" w:ascii="宋体" w:hAnsi="宋体" w:eastAsia="宋体" w:cs="宋体"/>
          <w:color w:val="auto"/>
          <w:sz w:val="24"/>
          <w:highlight w:val="none"/>
          <w:lang w:val="en-US" w:eastAsia="zh-CN"/>
        </w:rPr>
        <w:t>信息为准</w:t>
      </w:r>
      <w:r>
        <w:rPr>
          <w:rFonts w:hint="eastAsia" w:ascii="宋体" w:hAnsi="宋体" w:eastAsia="宋体" w:cs="宋体"/>
          <w:color w:val="auto"/>
          <w:sz w:val="24"/>
          <w:highlight w:val="none"/>
        </w:rPr>
        <w:t>。评标时以在“湖南省智慧住建云—湖南省建筑市场监管公共服务平台”中查询的结果为准。</w:t>
      </w:r>
      <w:r>
        <w:rPr>
          <w:rFonts w:hint="eastAsia" w:ascii="宋体" w:hAnsi="宋体" w:eastAsia="宋体" w:cs="宋体"/>
          <w:color w:val="auto"/>
          <w:sz w:val="24"/>
          <w:highlight w:val="none"/>
          <w:lang w:val="en-US" w:eastAsia="zh-CN"/>
        </w:rPr>
        <w:t>湖南省</w:t>
      </w:r>
      <w:r>
        <w:rPr>
          <w:rFonts w:hint="eastAsia" w:ascii="宋体" w:hAnsi="宋体" w:eastAsia="宋体" w:cs="宋体"/>
          <w:color w:val="auto"/>
          <w:sz w:val="24"/>
          <w:highlight w:val="none"/>
        </w:rPr>
        <w:t>设计</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rPr>
        <w:t>信用评价结果</w:t>
      </w:r>
      <w:r>
        <w:rPr>
          <w:rFonts w:hint="eastAsia" w:ascii="宋体" w:hAnsi="宋体" w:eastAsia="宋体" w:cs="宋体"/>
          <w:color w:val="auto"/>
          <w:sz w:val="24"/>
          <w:highlight w:val="none"/>
          <w:lang w:eastAsia="zh-CN"/>
        </w:rPr>
        <w:t>公布</w:t>
      </w:r>
      <w:r>
        <w:rPr>
          <w:rFonts w:hint="eastAsia" w:ascii="宋体" w:hAnsi="宋体" w:eastAsia="宋体" w:cs="宋体"/>
          <w:color w:val="auto"/>
          <w:sz w:val="24"/>
          <w:highlight w:val="none"/>
        </w:rPr>
        <w:t>之前，招标评标过程中投标人信用评价分值统一计100分，设计单位存在信用评价不良信用信息的，按照下列不良信用信息</w:t>
      </w:r>
      <w:r>
        <w:rPr>
          <w:rFonts w:hint="eastAsia" w:ascii="宋体" w:hAnsi="宋体" w:eastAsia="宋体" w:cs="宋体"/>
          <w:color w:val="auto"/>
          <w:sz w:val="24"/>
          <w:highlight w:val="none"/>
          <w:lang w:val="en-US" w:eastAsia="zh-CN"/>
        </w:rPr>
        <w:t>扣分标准扣分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严重失信行为名单（</w:t>
      </w:r>
      <w:r>
        <w:rPr>
          <w:rFonts w:hint="eastAsia" w:ascii="宋体" w:hAnsi="宋体" w:eastAsia="宋体" w:cs="宋体"/>
          <w:color w:val="auto"/>
          <w:sz w:val="24"/>
          <w:highlight w:val="none"/>
          <w:lang w:val="en-US" w:eastAsia="zh-CN"/>
        </w:rPr>
        <w:t>含失信黑名单，下同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扣8分、刑事处罚</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扣2分、失信被执行人</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扣1分、行政处罚</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扣0.5分、严重不良行为记录</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扣0.5分、一般不良行为记录</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扣0.3分。湖南省行政区域内的不良行为记录以湖南省住房和城乡建设厅</w:t>
      </w:r>
      <w:r>
        <w:rPr>
          <w:rFonts w:hint="eastAsia" w:ascii="宋体" w:hAnsi="宋体" w:eastAsia="宋体" w:cs="宋体"/>
          <w:color w:val="auto"/>
          <w:sz w:val="24"/>
          <w:highlight w:val="none"/>
          <w:lang w:eastAsia="zh-CN"/>
        </w:rPr>
        <w:t>公布</w:t>
      </w:r>
      <w:r>
        <w:rPr>
          <w:rFonts w:hint="eastAsia" w:ascii="宋体" w:hAnsi="宋体" w:eastAsia="宋体" w:cs="宋体"/>
          <w:color w:val="auto"/>
          <w:sz w:val="24"/>
          <w:highlight w:val="none"/>
        </w:rPr>
        <w:t>的结果为准；湖南省行政区域外的不良行为记录以全国建筑市场监管公共服务平台</w:t>
      </w:r>
      <w:r>
        <w:rPr>
          <w:rFonts w:hint="eastAsia" w:ascii="宋体" w:hAnsi="宋体" w:eastAsia="宋体" w:cs="宋体"/>
          <w:color w:val="auto"/>
          <w:sz w:val="24"/>
          <w:highlight w:val="none"/>
          <w:lang w:eastAsia="zh-CN"/>
        </w:rPr>
        <w:t>公布</w:t>
      </w:r>
      <w:r>
        <w:rPr>
          <w:rFonts w:hint="eastAsia" w:ascii="宋体" w:hAnsi="宋体" w:eastAsia="宋体" w:cs="宋体"/>
          <w:color w:val="auto"/>
          <w:sz w:val="24"/>
          <w:highlight w:val="none"/>
        </w:rPr>
        <w:t>的信息为准，按严重不良行为记录扣分。</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.2  施工单位信用评价</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2.2.1  </w:t>
      </w:r>
      <w:r>
        <w:rPr>
          <w:rFonts w:hint="eastAsia" w:ascii="宋体" w:hAnsi="宋体" w:eastAsia="宋体" w:cs="宋体"/>
          <w:color w:val="auto"/>
          <w:sz w:val="24"/>
          <w:highlight w:val="none"/>
        </w:rPr>
        <w:t>施工单位信用评价以提交投标文件截止之时“湖南省智慧住建云—湖南省建筑市场监管公共服务平台”</w:t>
      </w:r>
      <w:r>
        <w:rPr>
          <w:rFonts w:hint="eastAsia" w:ascii="宋体" w:hAnsi="宋体" w:eastAsia="宋体" w:cs="宋体"/>
          <w:color w:val="auto"/>
          <w:sz w:val="24"/>
          <w:highlight w:val="none"/>
          <w:lang w:val="en-US" w:eastAsia="zh-CN"/>
        </w:rPr>
        <w:t>最新公布</w:t>
      </w:r>
      <w:r>
        <w:rPr>
          <w:rFonts w:hint="eastAsia" w:ascii="宋体" w:hAnsi="宋体" w:eastAsia="宋体" w:cs="宋体"/>
          <w:color w:val="auto"/>
          <w:sz w:val="24"/>
          <w:highlight w:val="none"/>
        </w:rPr>
        <w:t>的信息为准，无查询结果的，投标时按照施工单位信用评价得分处于末位的合格投标人的分值计取；省外企业无施工单位信用评价查询结果的，可以提供企业注册地省级住房和城乡建设部门提供的施工单位信用评价结果（百分制）作为评审依据。</w:t>
      </w:r>
    </w:p>
    <w:p>
      <w:pPr>
        <w:snapToGrid w:val="0"/>
        <w:ind w:firstLine="464"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2.2.2  未参加信用评价</w:t>
      </w:r>
      <w:r>
        <w:rPr>
          <w:rFonts w:hint="eastAsia" w:ascii="宋体" w:hAnsi="宋体" w:eastAsia="宋体" w:cs="宋体"/>
          <w:color w:val="auto"/>
          <w:sz w:val="24"/>
          <w:highlight w:val="none"/>
        </w:rPr>
        <w:t>存在信用评价不良信用信息的</w:t>
      </w:r>
      <w:r>
        <w:rPr>
          <w:rFonts w:hint="eastAsia" w:ascii="宋体" w:hAnsi="宋体" w:cs="宋体"/>
          <w:color w:val="auto"/>
          <w:sz w:val="24"/>
          <w:highlight w:val="none"/>
          <w:lang w:val="en-US" w:eastAsia="zh-CN"/>
        </w:rPr>
        <w:t>施工单位，按照</w:t>
      </w:r>
      <w:r>
        <w:rPr>
          <w:rFonts w:hint="eastAsia" w:ascii="宋体" w:hAnsi="宋体" w:eastAsia="宋体" w:cs="宋体"/>
          <w:color w:val="auto"/>
          <w:sz w:val="24"/>
          <w:highlight w:val="none"/>
        </w:rPr>
        <w:t>下列不良信用信息</w:t>
      </w:r>
      <w:r>
        <w:rPr>
          <w:rFonts w:hint="eastAsia" w:ascii="宋体" w:hAnsi="宋体" w:eastAsia="宋体" w:cs="宋体"/>
          <w:color w:val="auto"/>
          <w:sz w:val="24"/>
          <w:highlight w:val="none"/>
          <w:lang w:val="en-US" w:eastAsia="zh-CN"/>
        </w:rPr>
        <w:t>扣分标准扣分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严重失信行为名单（</w:t>
      </w:r>
      <w:r>
        <w:rPr>
          <w:rFonts w:hint="eastAsia" w:ascii="宋体" w:hAnsi="宋体" w:eastAsia="宋体" w:cs="宋体"/>
          <w:color w:val="auto"/>
          <w:sz w:val="24"/>
          <w:highlight w:val="none"/>
          <w:lang w:val="en-US" w:eastAsia="zh-CN"/>
        </w:rPr>
        <w:t>含失信黑名单，下同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扣8分、刑事处罚</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扣2分、失信被执行人</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扣1分、行政处罚</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扣0.5分、严重不良行为记录</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扣0.5分、一般不良行为记录</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扣0.3分。湖南省行政区域内的不良行为记录以湖南省住房和城乡建设厅</w:t>
      </w:r>
      <w:r>
        <w:rPr>
          <w:rFonts w:hint="eastAsia" w:ascii="宋体" w:hAnsi="宋体" w:eastAsia="宋体" w:cs="宋体"/>
          <w:color w:val="auto"/>
          <w:sz w:val="24"/>
          <w:highlight w:val="none"/>
          <w:lang w:eastAsia="zh-CN"/>
        </w:rPr>
        <w:t>公布</w:t>
      </w:r>
      <w:r>
        <w:rPr>
          <w:rFonts w:hint="eastAsia" w:ascii="宋体" w:hAnsi="宋体" w:eastAsia="宋体" w:cs="宋体"/>
          <w:color w:val="auto"/>
          <w:sz w:val="24"/>
          <w:highlight w:val="none"/>
        </w:rPr>
        <w:t>的结果为准；湖南省行政区域外的不良行为记录以全国建筑市场监管公共服务平台</w:t>
      </w:r>
      <w:r>
        <w:rPr>
          <w:rFonts w:hint="eastAsia" w:ascii="宋体" w:hAnsi="宋体" w:eastAsia="宋体" w:cs="宋体"/>
          <w:color w:val="auto"/>
          <w:sz w:val="24"/>
          <w:highlight w:val="none"/>
          <w:lang w:eastAsia="zh-CN"/>
        </w:rPr>
        <w:t>公布</w:t>
      </w:r>
      <w:r>
        <w:rPr>
          <w:rFonts w:hint="eastAsia" w:ascii="宋体" w:hAnsi="宋体" w:eastAsia="宋体" w:cs="宋体"/>
          <w:color w:val="auto"/>
          <w:sz w:val="24"/>
          <w:highlight w:val="none"/>
        </w:rPr>
        <w:t>的信息为准，按严重不良行为记录扣分。</w:t>
      </w:r>
    </w:p>
    <w:p>
      <w:pPr>
        <w:snapToGrid w:val="0"/>
        <w:ind w:firstLine="464" w:firstLineChars="200"/>
        <w:rPr>
          <w:rFonts w:hint="eastAsia" w:ascii="宋体" w:hAnsi="宋体" w:eastAsia="宋体" w:cs="宋体"/>
          <w:color w:val="auto"/>
          <w:sz w:val="24"/>
          <w:highlight w:val="none"/>
        </w:rPr>
      </w:pPr>
      <w:r>
        <w:rPr>
          <w:rFonts w:hint="eastAsia" w:ascii="宋体" w:hAnsi="宋体" w:cs="仿宋_GB2312"/>
          <w:sz w:val="24"/>
          <w:lang w:val="en-US" w:eastAsia="zh-CN"/>
        </w:rPr>
        <w:t xml:space="preserve">2.2.3  </w:t>
      </w:r>
      <w:r>
        <w:rPr>
          <w:rFonts w:hint="eastAsia" w:ascii="宋体" w:hAnsi="宋体" w:eastAsia="宋体" w:cs="仿宋_GB2312"/>
          <w:sz w:val="24"/>
        </w:rPr>
        <w:t>招标项目为专业工程、园林绿化工程的，评标时投标人的信用评价分值统一计100分。</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  类似工程业绩规定</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.1  招标人可以根据项目实际情况选取0-3个类似工程业绩纳入评审。</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.2  评审依据：以投标文件中提供的中标通知书（招标工程提交）、合同和竣工验收资料以及本项目答疑文件明确可以作为评审依据的资料的复印件为准，并提供“湖南省智慧住建云—湖南省建筑市场监管公共服务平台”或者“全国建筑市场监管公共服务平台”上体现其作为相应设计人或承包人的</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网页截图。相关指标不一致时，依次按照中标通知书、合同、竣工验收资料、项目答疑文件明确可以作为</w:t>
      </w:r>
      <w:r>
        <w:rPr>
          <w:rFonts w:hint="eastAsia" w:ascii="宋体" w:hAnsi="宋体" w:eastAsia="宋体" w:cs="宋体"/>
          <w:bCs/>
          <w:color w:val="auto"/>
          <w:sz w:val="24"/>
          <w:highlight w:val="none"/>
        </w:rPr>
        <w:t>评审</w:t>
      </w:r>
      <w:r>
        <w:rPr>
          <w:rFonts w:hint="eastAsia" w:ascii="宋体" w:hAnsi="宋体" w:eastAsia="宋体" w:cs="宋体"/>
          <w:color w:val="auto"/>
          <w:sz w:val="24"/>
          <w:highlight w:val="none"/>
        </w:rPr>
        <w:t>依据的资料顺序认定。竣工验收资料是指竣工验收备案表（经建设工程质量监督部门签字或盖章确认，下同）或者竣工验收证明（由建设单位、施工单位、监理单位、设计单位签字或盖章认可，下同）。</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投标人提供的类似工程业绩同时包含多个工程类别</w:t>
      </w:r>
      <w:r>
        <w:rPr>
          <w:rFonts w:hint="eastAsia" w:ascii="宋体" w:hAnsi="宋体" w:eastAsia="宋体" w:cs="宋体"/>
          <w:color w:val="auto"/>
          <w:sz w:val="24"/>
          <w:highlight w:val="none"/>
          <w:lang w:val="en-US" w:eastAsia="zh-CN"/>
        </w:rPr>
        <w:t>（专业）</w:t>
      </w:r>
      <w:r>
        <w:rPr>
          <w:rFonts w:hint="eastAsia" w:ascii="宋体" w:hAnsi="宋体" w:eastAsia="宋体" w:cs="宋体"/>
          <w:color w:val="auto"/>
          <w:sz w:val="24"/>
          <w:highlight w:val="none"/>
        </w:rPr>
        <w:t>的，其工程类别</w:t>
      </w:r>
      <w:r>
        <w:rPr>
          <w:rFonts w:hint="eastAsia" w:ascii="宋体" w:hAnsi="宋体" w:eastAsia="宋体" w:cs="宋体"/>
          <w:color w:val="auto"/>
          <w:sz w:val="24"/>
          <w:highlight w:val="none"/>
          <w:lang w:val="en-US" w:eastAsia="zh-CN"/>
        </w:rPr>
        <w:t>（专业）</w:t>
      </w:r>
      <w:r>
        <w:rPr>
          <w:rFonts w:hint="eastAsia" w:ascii="宋体" w:hAnsi="宋体" w:eastAsia="宋体" w:cs="宋体"/>
          <w:color w:val="auto"/>
          <w:sz w:val="24"/>
          <w:highlight w:val="none"/>
        </w:rPr>
        <w:t>所对应的工程量应当依次按照中标通知书、合同、竣工验收资料、项目答疑文件明确可以作为</w:t>
      </w:r>
      <w:r>
        <w:rPr>
          <w:rFonts w:hint="eastAsia" w:ascii="宋体" w:hAnsi="宋体" w:eastAsia="宋体" w:cs="宋体"/>
          <w:bCs/>
          <w:color w:val="auto"/>
          <w:sz w:val="24"/>
          <w:highlight w:val="none"/>
        </w:rPr>
        <w:t>评审</w:t>
      </w:r>
      <w:r>
        <w:rPr>
          <w:rFonts w:hint="eastAsia" w:ascii="宋体" w:hAnsi="宋体" w:eastAsia="宋体" w:cs="宋体"/>
          <w:color w:val="auto"/>
          <w:sz w:val="24"/>
          <w:highlight w:val="none"/>
        </w:rPr>
        <w:t>依据的资料进行认定。</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以上资料均不能明确区分的，由评标委员会进行认定。</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 xml:space="preserve">.3  </w:t>
      </w:r>
      <w:r>
        <w:rPr>
          <w:rFonts w:hint="eastAsia" w:ascii="宋体" w:hAnsi="宋体" w:eastAsia="宋体" w:cs="宋体"/>
          <w:bCs/>
          <w:color w:val="auto"/>
          <w:sz w:val="24"/>
          <w:highlight w:val="none"/>
        </w:rPr>
        <w:t>评审</w:t>
      </w:r>
      <w:r>
        <w:rPr>
          <w:rFonts w:hint="eastAsia" w:ascii="宋体" w:hAnsi="宋体" w:eastAsia="宋体" w:cs="宋体"/>
          <w:color w:val="auto"/>
          <w:sz w:val="24"/>
          <w:highlight w:val="none"/>
        </w:rPr>
        <w:t>期限：3年，自工程竣工验收文件中建设单位签字或盖章之日起计算。类似工程业绩</w:t>
      </w:r>
      <w:r>
        <w:rPr>
          <w:rFonts w:hint="eastAsia" w:ascii="宋体" w:hAnsi="宋体" w:eastAsia="宋体" w:cs="宋体"/>
          <w:bCs/>
          <w:color w:val="auto"/>
          <w:sz w:val="24"/>
          <w:highlight w:val="none"/>
        </w:rPr>
        <w:t>评审</w:t>
      </w:r>
      <w:r>
        <w:rPr>
          <w:rFonts w:hint="eastAsia" w:ascii="宋体" w:hAnsi="宋体" w:eastAsia="宋体" w:cs="宋体"/>
          <w:color w:val="auto"/>
          <w:sz w:val="24"/>
          <w:highlight w:val="none"/>
        </w:rPr>
        <w:t>依据中竣工验收备案表未体现建设单位签字或盖章之日的，以竣工验收备案表“竣工验收日期”栏中注明的时间为准。</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 施工项目季度考评综合优良率得分</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F=(K/A)×4＋ [1-K</w:t>
      </w:r>
      <w:r>
        <w:rPr>
          <w:rFonts w:hint="eastAsia" w:ascii="宋体" w:hAnsi="宋体" w:eastAsia="宋体" w:cs="宋体"/>
          <w:color w:val="auto"/>
          <w:sz w:val="24"/>
          <w:highlight w:val="none"/>
          <w:vertAlign w:val="subscript"/>
        </w:rPr>
        <w:t>P</w:t>
      </w:r>
      <w:r>
        <w:rPr>
          <w:rFonts w:hint="eastAsia" w:ascii="宋体" w:hAnsi="宋体" w:eastAsia="宋体" w:cs="宋体"/>
          <w:color w:val="auto"/>
          <w:sz w:val="24"/>
          <w:highlight w:val="none"/>
        </w:rPr>
        <w:t>/（K+K</w:t>
      </w:r>
      <w:r>
        <w:rPr>
          <w:rFonts w:hint="eastAsia" w:ascii="宋体" w:hAnsi="宋体" w:eastAsia="宋体" w:cs="宋体"/>
          <w:color w:val="auto"/>
          <w:sz w:val="24"/>
          <w:highlight w:val="none"/>
          <w:vertAlign w:val="subscript"/>
        </w:rPr>
        <w:t>P</w:t>
      </w:r>
      <w:r>
        <w:rPr>
          <w:rFonts w:hint="eastAsia" w:ascii="宋体" w:hAnsi="宋体" w:eastAsia="宋体" w:cs="宋体"/>
          <w:color w:val="auto"/>
          <w:sz w:val="24"/>
          <w:highlight w:val="none"/>
        </w:rPr>
        <w:t>）] ×4＋（A</w:t>
      </w:r>
      <w:r>
        <w:rPr>
          <w:rFonts w:hint="eastAsia" w:ascii="宋体" w:hAnsi="宋体" w:eastAsia="宋体" w:cs="宋体"/>
          <w:color w:val="auto"/>
          <w:sz w:val="24"/>
          <w:highlight w:val="none"/>
          <w:vertAlign w:val="subscript"/>
        </w:rPr>
        <w:t>P1</w:t>
      </w:r>
      <w:r>
        <w:rPr>
          <w:rFonts w:hint="eastAsia" w:ascii="宋体" w:hAnsi="宋体" w:eastAsia="宋体" w:cs="宋体"/>
          <w:color w:val="auto"/>
          <w:sz w:val="24"/>
          <w:highlight w:val="none"/>
        </w:rPr>
        <w:t>×0.1+A</w:t>
      </w:r>
      <w:r>
        <w:rPr>
          <w:rFonts w:hint="eastAsia" w:ascii="宋体" w:hAnsi="宋体" w:eastAsia="宋体" w:cs="宋体"/>
          <w:color w:val="auto"/>
          <w:sz w:val="24"/>
          <w:highlight w:val="none"/>
          <w:vertAlign w:val="subscript"/>
        </w:rPr>
        <w:t>P2</w:t>
      </w:r>
      <w:r>
        <w:rPr>
          <w:rFonts w:hint="eastAsia" w:ascii="宋体" w:hAnsi="宋体" w:eastAsia="宋体" w:cs="宋体"/>
          <w:color w:val="auto"/>
          <w:sz w:val="24"/>
          <w:highlight w:val="none"/>
        </w:rPr>
        <w:t>×0.2+A</w:t>
      </w:r>
      <w:r>
        <w:rPr>
          <w:rFonts w:hint="eastAsia" w:ascii="宋体" w:hAnsi="宋体" w:eastAsia="宋体" w:cs="宋体"/>
          <w:color w:val="auto"/>
          <w:sz w:val="24"/>
          <w:highlight w:val="none"/>
          <w:vertAlign w:val="subscript"/>
        </w:rPr>
        <w:t>P3</w:t>
      </w:r>
      <w:r>
        <w:rPr>
          <w:rFonts w:hint="eastAsia" w:ascii="宋体" w:hAnsi="宋体" w:eastAsia="宋体" w:cs="宋体"/>
          <w:color w:val="auto"/>
          <w:sz w:val="24"/>
          <w:highlight w:val="none"/>
        </w:rPr>
        <w:t>×0.3+A</w:t>
      </w:r>
      <w:r>
        <w:rPr>
          <w:rFonts w:hint="eastAsia" w:ascii="宋体" w:hAnsi="宋体" w:eastAsia="宋体" w:cs="宋体"/>
          <w:color w:val="auto"/>
          <w:sz w:val="24"/>
          <w:highlight w:val="none"/>
          <w:vertAlign w:val="subscript"/>
        </w:rPr>
        <w:t>P4</w:t>
      </w:r>
      <w:r>
        <w:rPr>
          <w:rFonts w:hint="eastAsia" w:ascii="宋体" w:hAnsi="宋体" w:eastAsia="宋体" w:cs="宋体"/>
          <w:color w:val="auto"/>
          <w:sz w:val="24"/>
          <w:highlight w:val="none"/>
        </w:rPr>
        <w:t>×0.4）×2</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F：施工项目季度考评综合优良率得分</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 企业季度考评在建工地宗数</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K: 企业季度考评优良工地宗数</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K</w:t>
      </w:r>
      <w:r>
        <w:rPr>
          <w:rFonts w:hint="eastAsia" w:ascii="宋体" w:hAnsi="宋体" w:eastAsia="宋体" w:cs="宋体"/>
          <w:color w:val="auto"/>
          <w:sz w:val="24"/>
          <w:highlight w:val="none"/>
          <w:vertAlign w:val="subscript"/>
        </w:rPr>
        <w:t>P</w:t>
      </w:r>
      <w:r>
        <w:rPr>
          <w:rFonts w:hint="eastAsia" w:ascii="宋体" w:hAnsi="宋体" w:eastAsia="宋体" w:cs="宋体"/>
          <w:color w:val="auto"/>
          <w:sz w:val="24"/>
          <w:highlight w:val="none"/>
        </w:rPr>
        <w:t>: 全省所有企业的季度考评优良工地平均数</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w:t>
      </w:r>
      <w:r>
        <w:rPr>
          <w:rFonts w:hint="eastAsia" w:ascii="宋体" w:hAnsi="宋体" w:eastAsia="宋体" w:cs="宋体"/>
          <w:color w:val="auto"/>
          <w:sz w:val="24"/>
          <w:highlight w:val="none"/>
          <w:vertAlign w:val="subscript"/>
        </w:rPr>
        <w:t>P1</w:t>
      </w:r>
      <w:r>
        <w:rPr>
          <w:rFonts w:hint="eastAsia" w:ascii="宋体" w:hAnsi="宋体" w:eastAsia="宋体" w:cs="宋体"/>
          <w:color w:val="auto"/>
          <w:sz w:val="24"/>
          <w:highlight w:val="none"/>
        </w:rPr>
        <w:t xml:space="preserve"> 、A</w:t>
      </w:r>
      <w:r>
        <w:rPr>
          <w:rFonts w:hint="eastAsia" w:ascii="宋体" w:hAnsi="宋体" w:eastAsia="宋体" w:cs="宋体"/>
          <w:color w:val="auto"/>
          <w:sz w:val="24"/>
          <w:highlight w:val="none"/>
          <w:vertAlign w:val="subscript"/>
        </w:rPr>
        <w:t>P2</w:t>
      </w:r>
      <w:r>
        <w:rPr>
          <w:rFonts w:hint="eastAsia" w:ascii="宋体" w:hAnsi="宋体" w:eastAsia="宋体" w:cs="宋体"/>
          <w:color w:val="auto"/>
          <w:sz w:val="24"/>
          <w:highlight w:val="none"/>
        </w:rPr>
        <w:t xml:space="preserve"> 、A</w:t>
      </w:r>
      <w:r>
        <w:rPr>
          <w:rFonts w:hint="eastAsia" w:ascii="宋体" w:hAnsi="宋体" w:eastAsia="宋体" w:cs="宋体"/>
          <w:color w:val="auto"/>
          <w:sz w:val="24"/>
          <w:highlight w:val="none"/>
          <w:vertAlign w:val="subscript"/>
        </w:rPr>
        <w:t>P3</w:t>
      </w:r>
      <w:r>
        <w:rPr>
          <w:rFonts w:hint="eastAsia" w:ascii="宋体" w:hAnsi="宋体" w:eastAsia="宋体" w:cs="宋体"/>
          <w:color w:val="auto"/>
          <w:sz w:val="24"/>
          <w:highlight w:val="none"/>
        </w:rPr>
        <w:t xml:space="preserve"> 、A</w:t>
      </w:r>
      <w:r>
        <w:rPr>
          <w:rFonts w:hint="eastAsia" w:ascii="宋体" w:hAnsi="宋体" w:eastAsia="宋体" w:cs="宋体"/>
          <w:color w:val="auto"/>
          <w:sz w:val="24"/>
          <w:highlight w:val="none"/>
          <w:vertAlign w:val="subscript"/>
        </w:rPr>
        <w:t>P4</w:t>
      </w:r>
      <w:r>
        <w:rPr>
          <w:rFonts w:hint="eastAsia" w:ascii="宋体" w:hAnsi="宋体" w:eastAsia="宋体" w:cs="宋体"/>
          <w:color w:val="auto"/>
          <w:sz w:val="24"/>
          <w:highlight w:val="none"/>
        </w:rPr>
        <w:t>：企业考评季度之前连续四个季度考评优良比例（K/A，K或者A为0时，该项数据计0分）</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.1施工项目季度考评综合优良率得分以提交投标文件截止之时“湖南省智慧住建云—湖南省建筑市场监管公共服务平台”</w:t>
      </w:r>
      <w:r>
        <w:rPr>
          <w:rFonts w:hint="eastAsia" w:ascii="宋体" w:hAnsi="宋体" w:eastAsia="宋体" w:cs="宋体"/>
          <w:color w:val="auto"/>
          <w:sz w:val="24"/>
          <w:highlight w:val="none"/>
          <w:lang w:val="en-US" w:eastAsia="zh-CN"/>
        </w:rPr>
        <w:t>最新公布</w:t>
      </w:r>
      <w:r>
        <w:rPr>
          <w:rFonts w:hint="eastAsia" w:ascii="宋体" w:hAnsi="宋体" w:eastAsia="宋体" w:cs="宋体"/>
          <w:color w:val="auto"/>
          <w:sz w:val="24"/>
          <w:highlight w:val="none"/>
        </w:rPr>
        <w:t>的信息为准，无查询结果的，投标时按照施工项目季度考评综合优良率得分处于末位的合格投标人的分值计取；省外企业无施工项目季度考评综合优良率得分查询结果的，可以提供注册地省级住房和城乡建设部门公开发布的用于计算施工项目季度考评综合优良率的相关基础数据作为评审依据。</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.2  招标项目为专业工程、园林绿化工程的，评标时投标人的施工项目季度考评综合优良率统一计满分。</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联合体中同一类型(专业)的设计或施工企业有两家以上的,奖项、标准化工地、绿色科技创新指标、加分业绩、信用评价、综合优良率得分分别为该类型(专业)联合体各方得分的平均值。</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项目存在不同类型工程内容的,招标人应根据项目实际情况在招标文件中明确主要类型（专业）,设置项目奖项、标准化工地、绿色科技创新指标、加分业绩、信用评价、综合优良率的指标标准按照主要类型(专业)的规模</w:t>
      </w:r>
      <w:r>
        <w:rPr>
          <w:rFonts w:hint="eastAsia" w:ascii="宋体" w:hAnsi="宋体" w:eastAsia="宋体" w:cs="宋体"/>
          <w:strike/>
          <w:color w:val="auto"/>
          <w:sz w:val="24"/>
          <w:highlight w:val="none"/>
        </w:rPr>
        <w:t>,</w:t>
      </w:r>
      <w:r>
        <w:rPr>
          <w:rFonts w:hint="eastAsia" w:ascii="宋体" w:hAnsi="宋体" w:eastAsia="宋体" w:cs="宋体"/>
          <w:color w:val="auto"/>
          <w:sz w:val="24"/>
          <w:highlight w:val="none"/>
        </w:rPr>
        <w:t>其他指标标准和相关要求按照整个招标项目的规模。奖项、标准化工地、绿色科技创新指标、加分业绩、信用评价、综合优良率得分为联合体主要类型(专业)单位的得分。</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拟任工程总承包负责人</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.1  不良信用信息：</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 xml:space="preserve">.1.1  </w:t>
      </w:r>
      <w:r>
        <w:rPr>
          <w:rFonts w:hint="eastAsia" w:ascii="宋体" w:hAnsi="宋体" w:eastAsia="宋体" w:cs="宋体"/>
          <w:color w:val="auto"/>
          <w:sz w:val="24"/>
          <w:highlight w:val="none"/>
          <w:lang w:val="en-US" w:eastAsia="zh-CN"/>
        </w:rPr>
        <w:t>按照</w:t>
      </w:r>
      <w:r>
        <w:rPr>
          <w:rFonts w:hint="eastAsia" w:ascii="宋体" w:hAnsi="宋体" w:eastAsia="宋体" w:cs="宋体"/>
          <w:color w:val="auto"/>
          <w:sz w:val="24"/>
          <w:highlight w:val="none"/>
        </w:rPr>
        <w:t>以下不良信用信息</w:t>
      </w:r>
      <w:r>
        <w:rPr>
          <w:rFonts w:hint="eastAsia" w:ascii="宋体" w:hAnsi="宋体" w:eastAsia="宋体" w:cs="宋体"/>
          <w:color w:val="auto"/>
          <w:sz w:val="24"/>
          <w:highlight w:val="none"/>
          <w:lang w:val="en-US" w:eastAsia="zh-CN"/>
        </w:rPr>
        <w:t>扣分标准</w:t>
      </w:r>
      <w:r>
        <w:rPr>
          <w:rFonts w:hint="eastAsia" w:ascii="宋体" w:hAnsi="宋体" w:eastAsia="宋体" w:cs="宋体"/>
          <w:color w:val="auto"/>
          <w:sz w:val="24"/>
          <w:highlight w:val="none"/>
        </w:rPr>
        <w:t>扣分，</w:t>
      </w:r>
      <w:r>
        <w:rPr>
          <w:rFonts w:hint="eastAsia" w:ascii="宋体" w:hAnsi="宋体" w:eastAsia="宋体" w:cs="宋体"/>
          <w:color w:val="auto"/>
          <w:sz w:val="24"/>
          <w:highlight w:val="none"/>
          <w:lang w:eastAsia="zh-CN"/>
        </w:rPr>
        <w:t>严重失信行为名单</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分、刑事处罚</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扣2分、失信被执行人</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扣1分、行政处罚</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扣0.5分、严重不良行为记录</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扣0.5分、一般不良行为记录</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扣0.3分。湖南省行政区域内的不良行为记录以湖南省住房和城乡建设厅</w:t>
      </w:r>
      <w:r>
        <w:rPr>
          <w:rFonts w:hint="eastAsia" w:ascii="宋体" w:hAnsi="宋体" w:eastAsia="宋体" w:cs="宋体"/>
          <w:color w:val="auto"/>
          <w:sz w:val="24"/>
          <w:highlight w:val="none"/>
          <w:lang w:eastAsia="zh-CN"/>
        </w:rPr>
        <w:t>公布</w:t>
      </w:r>
      <w:r>
        <w:rPr>
          <w:rFonts w:hint="eastAsia" w:ascii="宋体" w:hAnsi="宋体" w:eastAsia="宋体" w:cs="宋体"/>
          <w:color w:val="auto"/>
          <w:sz w:val="24"/>
          <w:highlight w:val="none"/>
        </w:rPr>
        <w:t>的结果为准；湖南省行政区域外的不良行为记录以全国建筑市场监管公共服务平台</w:t>
      </w:r>
      <w:r>
        <w:rPr>
          <w:rFonts w:hint="eastAsia" w:ascii="宋体" w:hAnsi="宋体" w:eastAsia="宋体" w:cs="宋体"/>
          <w:color w:val="auto"/>
          <w:sz w:val="24"/>
          <w:highlight w:val="none"/>
          <w:lang w:eastAsia="zh-CN"/>
        </w:rPr>
        <w:t>公布</w:t>
      </w:r>
      <w:r>
        <w:rPr>
          <w:rFonts w:hint="eastAsia" w:ascii="宋体" w:hAnsi="宋体" w:eastAsia="宋体" w:cs="宋体"/>
          <w:color w:val="auto"/>
          <w:sz w:val="24"/>
          <w:highlight w:val="none"/>
        </w:rPr>
        <w:t>的信息为准，按严重不良行为记录扣分。</w:t>
      </w:r>
    </w:p>
    <w:p>
      <w:pPr>
        <w:snapToGrid w:val="0"/>
        <w:ind w:firstLine="464"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.2  拟任工程总承包负责人及施工负责人在建情况以投标截止时在“湖南省建筑工程监管信息平台”查询信息为准，有在其他项目任关键岗位人员情形的，评标委员会应当否决其投标。</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投标截止时为准，拟任工程总承包负责人及施工负责人在“湖南省建筑工程监管信息平台”之外有在其他项目任关键岗位人员情形的，应当在投标文件中如实注明，并承诺中标后能够从该项目按期撤离。评标期间，投标文件中注明有在建，但没有承诺能够按期撤离的，评标委员会应当否决其投标；中标候选公示期间，发现未如实注明有平台之外的在建情况的，招标人取消其中标候选人资格，并提请住房和城乡建设主管部门按规定予以信用评价扣分。</w:t>
      </w:r>
    </w:p>
    <w:p>
      <w:pPr>
        <w:snapToGrid w:val="0"/>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公示明确的公示期满之前，拟任工程总承包负责人及施工负责人不能按时到岗履职的（含不能从其他项目按期撤离的），招标人取消其中标候选人资格，并提请住房和城乡建设主管部门按规定予以信用评价扣分。中标通知书发放后，</w:t>
      </w:r>
      <w:bookmarkEnd w:id="3"/>
      <w:r>
        <w:rPr>
          <w:rFonts w:hint="eastAsia" w:ascii="宋体" w:hAnsi="宋体" w:eastAsia="宋体" w:cs="宋体"/>
          <w:color w:val="auto"/>
          <w:sz w:val="24"/>
          <w:highlight w:val="none"/>
        </w:rPr>
        <w:t>拟任工程总承包负责人及施工负责人不能按时到岗履职的（含不能从其他项目按期撤离的），招标人取消其中标人资格，并提请住房和城乡建设主管部门按规定记录一般不良行为。</w:t>
      </w:r>
    </w:p>
    <w:p>
      <w:pPr>
        <w:snapToGrid w:val="0"/>
        <w:ind w:firstLine="464"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施工单位、</w:t>
      </w:r>
      <w:r>
        <w:rPr>
          <w:rFonts w:hint="eastAsia" w:ascii="宋体" w:hAnsi="宋体" w:eastAsia="宋体" w:cs="宋体"/>
          <w:color w:val="auto"/>
          <w:sz w:val="24"/>
          <w:highlight w:val="none"/>
        </w:rPr>
        <w:t>设计单位</w:t>
      </w:r>
      <w:r>
        <w:rPr>
          <w:rFonts w:hint="eastAsia" w:ascii="宋体" w:hAnsi="宋体" w:eastAsia="宋体" w:cs="宋体"/>
          <w:color w:val="auto"/>
          <w:sz w:val="24"/>
          <w:highlight w:val="none"/>
          <w:lang w:val="en-US" w:eastAsia="zh-CN"/>
        </w:rPr>
        <w:t>及拟任工程总承包负责人不良信用信息</w:t>
      </w:r>
    </w:p>
    <w:p>
      <w:pPr>
        <w:snapToGrid w:val="0"/>
        <w:ind w:firstLine="464"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.1 评审依据及扣分有效期</w:t>
      </w:r>
    </w:p>
    <w:p>
      <w:pPr>
        <w:snapToGrid w:val="0"/>
        <w:ind w:firstLine="464"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 失信被执行人：以中国执行信息公开网公布的信息为准，自结果公布之日起6个月有效；</w:t>
      </w:r>
    </w:p>
    <w:p>
      <w:pPr>
        <w:snapToGrid w:val="0"/>
        <w:ind w:firstLine="464"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 不良行为记录：湖南省行政区域内的不良行为记录以湖南省住房和城乡建设厅公布的结果为准，有效期按照《湖南省建筑市场责任主体不良行为记录》规定执行;湖南省行政区域外的不良行为记录以全国建筑市场监管公共服务平台公布的信息为准，按严重不良行为记录扣分，有效期按照平台中注明的有效期执行。</w:t>
      </w:r>
    </w:p>
    <w:p>
      <w:pPr>
        <w:snapToGrid w:val="0"/>
        <w:ind w:firstLine="464"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 行政处罚：以行政处罚决定书为准。罚款10万元以上处罚的，自结果公布之日起3个月有效；其他罚款</w:t>
      </w:r>
      <w:r>
        <w:rPr>
          <w:rFonts w:hint="eastAsia" w:ascii="宋体" w:hAnsi="宋体" w:cs="宋体"/>
          <w:color w:val="auto"/>
          <w:sz w:val="24"/>
          <w:highlight w:val="none"/>
          <w:lang w:val="en-US" w:eastAsia="zh-CN"/>
        </w:rPr>
        <w:t>以上行政</w:t>
      </w:r>
      <w:r>
        <w:rPr>
          <w:rFonts w:hint="eastAsia" w:ascii="宋体" w:hAnsi="宋体" w:eastAsia="宋体" w:cs="宋体"/>
          <w:color w:val="auto"/>
          <w:sz w:val="24"/>
          <w:highlight w:val="none"/>
          <w:lang w:val="en-US" w:eastAsia="zh-CN"/>
        </w:rPr>
        <w:t>处罚的，自结果公布之日起6个月有效；</w:t>
      </w:r>
    </w:p>
    <w:p>
      <w:pPr>
        <w:snapToGrid w:val="0"/>
        <w:ind w:firstLine="464"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 刑事处罚：以刑事处罚决定书为准，自结果公布之日起1年有效；</w:t>
      </w:r>
    </w:p>
    <w:p>
      <w:pPr>
        <w:snapToGrid w:val="0"/>
        <w:ind w:firstLine="464"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 严重失信行为名单：以省公管办或省住房和城乡建设厅公布的相关文件为准，自结果公布之日起1年有效。</w:t>
      </w:r>
    </w:p>
    <w:p>
      <w:pPr>
        <w:snapToGrid w:val="0"/>
        <w:ind w:firstLine="464"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上述同一违法违规事项受到刑事处罚、行政处罚、不良行为记录的，按照最高处罚决定的分值扣分。</w:t>
      </w:r>
    </w:p>
    <w:p>
      <w:pPr>
        <w:snapToGrid w:val="0"/>
        <w:ind w:firstLine="464"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加分项目以投标文件中提供的相应证明材料为准，未提供相应材料或材料提供不全或不符合要求的，不加分</w:t>
      </w:r>
      <w:r>
        <w:rPr>
          <w:rFonts w:hint="eastAsia" w:ascii="宋体" w:hAnsi="宋体" w:eastAsia="宋体" w:cs="宋体"/>
          <w:color w:val="auto"/>
          <w:sz w:val="24"/>
          <w:highlight w:val="none"/>
          <w:lang w:eastAsia="zh-CN"/>
        </w:rPr>
        <w:t>。</w:t>
      </w:r>
    </w:p>
    <w:p>
      <w:pPr>
        <w:ind w:firstLine="544" w:firstLineChars="200"/>
        <w:rPr>
          <w:rFonts w:ascii="仿宋_GB2312" w:hAnsi="仿宋_GB2312" w:cs="仿宋_GB2312"/>
          <w:color w:val="auto"/>
          <w:sz w:val="28"/>
          <w:szCs w:val="28"/>
          <w:highlight w:val="none"/>
        </w:rPr>
      </w:pPr>
    </w:p>
    <w:p>
      <w:pPr>
        <w:ind w:firstLine="544" w:firstLineChars="200"/>
        <w:rPr>
          <w:rFonts w:ascii="仿宋_GB2312" w:hAnsi="仿宋_GB2312" w:cs="仿宋_GB2312"/>
          <w:color w:val="auto"/>
          <w:sz w:val="28"/>
          <w:szCs w:val="28"/>
          <w:highlight w:val="none"/>
        </w:rPr>
      </w:pPr>
    </w:p>
    <w:p>
      <w:pPr>
        <w:ind w:firstLine="544" w:firstLineChars="200"/>
        <w:rPr>
          <w:rFonts w:ascii="仿宋_GB2312" w:hAnsi="仿宋_GB2312" w:cs="仿宋_GB2312"/>
          <w:color w:val="auto"/>
          <w:sz w:val="28"/>
          <w:szCs w:val="28"/>
          <w:highlight w:val="none"/>
        </w:rPr>
      </w:pPr>
    </w:p>
    <w:p>
      <w:pPr>
        <w:ind w:firstLine="544" w:firstLineChars="200"/>
        <w:rPr>
          <w:rFonts w:ascii="仿宋_GB2312" w:hAnsi="仿宋_GB2312" w:cs="仿宋_GB2312"/>
          <w:color w:val="auto"/>
          <w:sz w:val="28"/>
          <w:szCs w:val="28"/>
          <w:highlight w:val="none"/>
        </w:rPr>
        <w:sectPr>
          <w:pgSz w:w="16838" w:h="11906" w:orient="landscape"/>
          <w:pgMar w:top="1417" w:right="1417" w:bottom="1417" w:left="1417" w:header="1701" w:footer="1134" w:gutter="0"/>
          <w:paperSrc/>
          <w:cols w:space="0" w:num="1"/>
          <w:rtlGutter w:val="0"/>
          <w:docGrid w:type="linesAndChars" w:linePitch="574" w:charSpace="-1683"/>
        </w:sectPr>
      </w:pPr>
    </w:p>
    <w:p>
      <w:pPr>
        <w:widowControl/>
        <w:shd w:val="clear" w:color="auto" w:fill="FFFFFF"/>
        <w:snapToGrid w:val="0"/>
        <w:spacing w:line="520" w:lineRule="exact"/>
        <w:jc w:val="center"/>
        <w:rPr>
          <w:rFonts w:ascii="仿宋_GB2312" w:hAnsi="宋体" w:eastAsia="仿宋_GB2312"/>
          <w:b/>
          <w:color w:val="auto"/>
          <w:kern w:val="0"/>
          <w:sz w:val="28"/>
          <w:szCs w:val="28"/>
          <w:highlight w:val="none"/>
        </w:rPr>
      </w:pPr>
      <w:r>
        <w:rPr>
          <w:rFonts w:hint="eastAsia" w:ascii="仿宋_GB2312" w:hAnsi="宋体" w:eastAsia="仿宋_GB2312"/>
          <w:b/>
          <w:color w:val="auto"/>
          <w:kern w:val="0"/>
          <w:sz w:val="28"/>
          <w:szCs w:val="28"/>
          <w:highlight w:val="none"/>
        </w:rPr>
        <w:t>附表4：投标报价评审表</w:t>
      </w:r>
    </w:p>
    <w:p>
      <w:pPr>
        <w:widowControl/>
        <w:shd w:val="clear" w:color="auto" w:fill="FFFFFF"/>
        <w:ind w:firstLine="643" w:firstLineChars="200"/>
        <w:rPr>
          <w:rFonts w:ascii="仿宋_GB2312" w:hAnsi="Times New Roman" w:eastAsia="仿宋_GB2312"/>
          <w:b/>
          <w:color w:val="auto"/>
          <w:kern w:val="0"/>
          <w:sz w:val="32"/>
          <w:highlight w:val="none"/>
        </w:rPr>
      </w:pPr>
    </w:p>
    <w:tbl>
      <w:tblPr>
        <w:tblStyle w:val="4"/>
        <w:tblW w:w="10007" w:type="dxa"/>
        <w:jc w:val="center"/>
        <w:tblLayout w:type="fixed"/>
        <w:tblCellMar>
          <w:top w:w="0" w:type="dxa"/>
          <w:left w:w="0" w:type="dxa"/>
          <w:bottom w:w="0" w:type="dxa"/>
          <w:right w:w="0" w:type="dxa"/>
        </w:tblCellMar>
      </w:tblPr>
      <w:tblGrid>
        <w:gridCol w:w="720"/>
        <w:gridCol w:w="1134"/>
        <w:gridCol w:w="2126"/>
        <w:gridCol w:w="1660"/>
        <w:gridCol w:w="4367"/>
      </w:tblGrid>
      <w:tr>
        <w:tblPrEx>
          <w:tblCellMar>
            <w:top w:w="0" w:type="dxa"/>
            <w:left w:w="0" w:type="dxa"/>
            <w:bottom w:w="0" w:type="dxa"/>
            <w:right w:w="0" w:type="dxa"/>
          </w:tblCellMar>
        </w:tblPrEx>
        <w:trPr>
          <w:trHeight w:val="58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1134"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b/>
                <w:color w:val="auto"/>
                <w:sz w:val="24"/>
                <w:highlight w:val="none"/>
              </w:rPr>
            </w:pPr>
            <w:r>
              <w:rPr>
                <w:rFonts w:hint="eastAsia" w:ascii="宋体" w:hAnsi="宋体"/>
                <w:b/>
                <w:color w:val="auto"/>
                <w:sz w:val="24"/>
                <w:highlight w:val="none"/>
              </w:rPr>
              <w:t>评审因素</w:t>
            </w:r>
          </w:p>
        </w:tc>
        <w:tc>
          <w:tcPr>
            <w:tcW w:w="2126"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b/>
                <w:color w:val="auto"/>
                <w:sz w:val="24"/>
                <w:highlight w:val="none"/>
              </w:rPr>
            </w:pPr>
            <w:r>
              <w:rPr>
                <w:rFonts w:hint="eastAsia" w:ascii="宋体" w:hAnsi="宋体"/>
                <w:b/>
                <w:color w:val="auto"/>
                <w:sz w:val="24"/>
                <w:highlight w:val="none"/>
              </w:rPr>
              <w:t>评审标准</w:t>
            </w:r>
          </w:p>
        </w:tc>
        <w:tc>
          <w:tcPr>
            <w:tcW w:w="166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b/>
                <w:color w:val="auto"/>
                <w:sz w:val="24"/>
                <w:highlight w:val="none"/>
              </w:rPr>
            </w:pPr>
            <w:r>
              <w:rPr>
                <w:rFonts w:hint="eastAsia" w:ascii="宋体" w:hAnsi="宋体"/>
                <w:b/>
                <w:color w:val="auto"/>
                <w:sz w:val="24"/>
                <w:highlight w:val="none"/>
              </w:rPr>
              <w:t>计分方式</w:t>
            </w:r>
          </w:p>
        </w:tc>
        <w:tc>
          <w:tcPr>
            <w:tcW w:w="4367"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b/>
                <w:color w:val="auto"/>
                <w:sz w:val="24"/>
                <w:highlight w:val="none"/>
              </w:rPr>
            </w:pPr>
            <w:r>
              <w:rPr>
                <w:rFonts w:hint="eastAsia" w:ascii="宋体" w:hAnsi="宋体"/>
                <w:b/>
                <w:color w:val="auto"/>
                <w:sz w:val="24"/>
                <w:highlight w:val="none"/>
              </w:rPr>
              <w:t>备注</w:t>
            </w:r>
          </w:p>
        </w:tc>
      </w:tr>
      <w:tr>
        <w:tblPrEx>
          <w:tblCellMar>
            <w:top w:w="0" w:type="dxa"/>
            <w:left w:w="0" w:type="dxa"/>
            <w:bottom w:w="0" w:type="dxa"/>
            <w:right w:w="0" w:type="dxa"/>
          </w:tblCellMar>
        </w:tblPrEx>
        <w:trPr>
          <w:trHeight w:val="781" w:hRule="atLeast"/>
          <w:jc w:val="center"/>
        </w:trPr>
        <w:tc>
          <w:tcPr>
            <w:tcW w:w="720" w:type="dxa"/>
            <w:tcBorders>
              <w:top w:val="nil"/>
              <w:left w:val="single" w:color="auto" w:sz="4" w:space="0"/>
              <w:bottom w:val="single" w:color="auto" w:sz="4" w:space="0"/>
              <w:right w:val="single" w:color="auto" w:sz="4" w:space="0"/>
            </w:tcBorders>
            <w:vAlign w:val="center"/>
          </w:tcPr>
          <w:p>
            <w:pPr>
              <w:spacing w:line="280" w:lineRule="exact"/>
              <w:jc w:val="center"/>
              <w:rPr>
                <w:rFonts w:ascii="宋体" w:hAnsi="宋体"/>
                <w:b/>
                <w:color w:val="auto"/>
                <w:sz w:val="24"/>
                <w:highlight w:val="none"/>
              </w:rPr>
            </w:pPr>
            <w:r>
              <w:rPr>
                <w:rFonts w:hint="eastAsia" w:ascii="宋体" w:hAnsi="宋体"/>
                <w:b/>
                <w:color w:val="auto"/>
                <w:sz w:val="24"/>
                <w:highlight w:val="none"/>
              </w:rPr>
              <w:t>1</w:t>
            </w:r>
          </w:p>
        </w:tc>
        <w:tc>
          <w:tcPr>
            <w:tcW w:w="1134" w:type="dxa"/>
            <w:vMerge w:val="restart"/>
            <w:tcBorders>
              <w:top w:val="nil"/>
              <w:left w:val="single" w:color="auto" w:sz="4" w:space="0"/>
              <w:bottom w:val="single" w:color="auto" w:sz="4" w:space="0"/>
              <w:right w:val="single" w:color="auto" w:sz="4" w:space="0"/>
            </w:tcBorders>
            <w:vAlign w:val="center"/>
          </w:tcPr>
          <w:p>
            <w:pPr>
              <w:spacing w:line="280" w:lineRule="exact"/>
              <w:jc w:val="center"/>
              <w:rPr>
                <w:rFonts w:ascii="宋体" w:hAnsi="宋体"/>
                <w:b/>
                <w:color w:val="auto"/>
                <w:sz w:val="24"/>
                <w:highlight w:val="none"/>
              </w:rPr>
            </w:pPr>
            <w:r>
              <w:rPr>
                <w:rFonts w:hint="eastAsia" w:ascii="宋体" w:hAnsi="宋体"/>
                <w:b/>
                <w:color w:val="auto"/>
                <w:sz w:val="24"/>
                <w:highlight w:val="none"/>
              </w:rPr>
              <w:t>投标报价</w:t>
            </w:r>
          </w:p>
        </w:tc>
        <w:tc>
          <w:tcPr>
            <w:tcW w:w="2126" w:type="dxa"/>
            <w:tcBorders>
              <w:top w:val="nil"/>
              <w:left w:val="nil"/>
              <w:bottom w:val="single" w:color="auto" w:sz="4" w:space="0"/>
              <w:right w:val="single" w:color="auto" w:sz="4" w:space="0"/>
            </w:tcBorders>
            <w:vAlign w:val="center"/>
          </w:tcPr>
          <w:p>
            <w:pPr>
              <w:spacing w:line="280" w:lineRule="exact"/>
              <w:jc w:val="center"/>
              <w:rPr>
                <w:rFonts w:ascii="宋体" w:hAnsi="宋体"/>
                <w:b/>
                <w:color w:val="auto"/>
                <w:sz w:val="24"/>
                <w:highlight w:val="none"/>
              </w:rPr>
            </w:pPr>
            <w:r>
              <w:rPr>
                <w:rFonts w:hint="eastAsia" w:ascii="宋体" w:hAnsi="宋体"/>
                <w:b/>
                <w:color w:val="auto"/>
                <w:sz w:val="24"/>
                <w:highlight w:val="none"/>
              </w:rPr>
              <w:t>投标报价＞基准价</w:t>
            </w:r>
          </w:p>
        </w:tc>
        <w:tc>
          <w:tcPr>
            <w:tcW w:w="1660" w:type="dxa"/>
            <w:tcBorders>
              <w:top w:val="nil"/>
              <w:left w:val="nil"/>
              <w:bottom w:val="single" w:color="auto" w:sz="4" w:space="0"/>
              <w:right w:val="single" w:color="auto" w:sz="4" w:space="0"/>
            </w:tcBorders>
            <w:vAlign w:val="center"/>
          </w:tcPr>
          <w:p>
            <w:pPr>
              <w:spacing w:line="280" w:lineRule="exact"/>
              <w:rPr>
                <w:rFonts w:ascii="宋体" w:hAnsi="宋体"/>
                <w:b/>
                <w:color w:val="auto"/>
                <w:sz w:val="24"/>
                <w:highlight w:val="none"/>
              </w:rPr>
            </w:pPr>
            <w:r>
              <w:rPr>
                <w:rFonts w:hint="eastAsia" w:ascii="宋体" w:hAnsi="宋体"/>
                <w:b/>
                <w:color w:val="auto"/>
                <w:sz w:val="24"/>
                <w:highlight w:val="none"/>
              </w:rPr>
              <w:t>100-100L</w:t>
            </w:r>
          </w:p>
        </w:tc>
        <w:tc>
          <w:tcPr>
            <w:tcW w:w="4367" w:type="dxa"/>
            <w:vMerge w:val="restart"/>
            <w:tcBorders>
              <w:top w:val="nil"/>
              <w:left w:val="single" w:color="auto" w:sz="4" w:space="0"/>
              <w:bottom w:val="single" w:color="auto" w:sz="4" w:space="0"/>
              <w:right w:val="single" w:color="auto" w:sz="4" w:space="0"/>
            </w:tcBorders>
            <w:vAlign w:val="center"/>
          </w:tcPr>
          <w:p>
            <w:pPr>
              <w:spacing w:line="280" w:lineRule="exact"/>
              <w:ind w:firstLine="723" w:firstLineChars="300"/>
              <w:jc w:val="left"/>
              <w:rPr>
                <w:rFonts w:ascii="宋体" w:hAnsi="宋体"/>
                <w:b/>
                <w:color w:val="auto"/>
                <w:sz w:val="24"/>
                <w:highlight w:val="none"/>
              </w:rPr>
            </w:pPr>
          </w:p>
          <w:p>
            <w:pPr>
              <w:spacing w:line="280" w:lineRule="exact"/>
              <w:ind w:firstLine="723" w:firstLineChars="300"/>
              <w:jc w:val="left"/>
              <w:rPr>
                <w:rFonts w:ascii="宋体" w:hAnsi="宋体"/>
                <w:b/>
                <w:color w:val="auto"/>
                <w:sz w:val="24"/>
                <w:highlight w:val="none"/>
              </w:rPr>
            </w:pPr>
          </w:p>
          <w:p>
            <w:pPr>
              <w:spacing w:line="280" w:lineRule="exact"/>
              <w:ind w:firstLine="959" w:firstLineChars="398"/>
              <w:jc w:val="left"/>
              <w:rPr>
                <w:rFonts w:ascii="宋体" w:hAnsi="宋体"/>
                <w:b/>
                <w:color w:val="auto"/>
                <w:sz w:val="24"/>
                <w:highlight w:val="none"/>
              </w:rPr>
            </w:pPr>
            <w:r>
              <w:rPr>
                <w:rFonts w:hint="eastAsia" w:ascii="宋体" w:hAnsi="宋体"/>
                <w:b/>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1953895</wp:posOffset>
                      </wp:positionH>
                      <wp:positionV relativeFrom="paragraph">
                        <wp:posOffset>72390</wp:posOffset>
                      </wp:positionV>
                      <wp:extent cx="0" cy="385445"/>
                      <wp:effectExtent l="4445" t="0" r="6350" b="3175"/>
                      <wp:wrapNone/>
                      <wp:docPr id="5"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0" cy="385445"/>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flip:x y;margin-left:153.85pt;margin-top:5.7pt;height:30.35pt;width:0pt;z-index:251661312;mso-width-relative:page;mso-height-relative:page;" filled="f" stroked="t" coordsize="21600,21600" o:gfxdata="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he0EA0gAAAAkBAAAP&#10;AAAAAAAAAAEAIAAAACIAAABkcnMvZG93bnJldi54bWxQSwECFAAUAAAACACHTuJAm7+M7+UBAADC&#10;AwAADgAAAAAAAAABACAAAAAhAQAAZHJzL2Uyb0RvYy54bWxQSwUGAAAAAAYABgBZAQAAeAUAAAAA&#10;">
                      <v:fill on="f" focussize="0,0"/>
                      <v:stroke color="#000000" joinstyle="round"/>
                      <v:imagedata o:title=""/>
                      <o:lock v:ext="edit" aspectratio="f"/>
                    </v:line>
                  </w:pict>
                </mc:Fallback>
              </mc:AlternateContent>
            </w:r>
            <w:r>
              <w:rPr>
                <w:rFonts w:hint="eastAsia" w:ascii="宋体" w:hAnsi="宋体"/>
                <w:b/>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506095</wp:posOffset>
                      </wp:positionH>
                      <wp:positionV relativeFrom="paragraph">
                        <wp:posOffset>67310</wp:posOffset>
                      </wp:positionV>
                      <wp:extent cx="0" cy="385445"/>
                      <wp:effectExtent l="4445" t="0" r="6350" b="3175"/>
                      <wp:wrapNone/>
                      <wp:docPr id="1"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0" cy="385445"/>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flip:x y;margin-left:39.85pt;margin-top:5.3pt;height:30.35pt;width:0pt;z-index:251659264;mso-width-relative:page;mso-height-relative:page;" filled="f" stroked="t" coordsize="21600,21600" o:gfxdata="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PWkYnRAAAABwEAAA8A&#10;AAAAAAAAAQAgAAAAIgAAAGRycy9kb3ducmV2LnhtbFBLAQIUABQAAAAIAIdO4kA649Ep5QEAAMID&#10;AAAOAAAAAAAAAAEAIAAAACABAABkcnMvZTJvRG9jLnhtbFBLBQYAAAAABgAGAFkBAAB3BQAAAAA=&#10;">
                      <v:fill on="f" focussize="0,0"/>
                      <v:stroke color="#000000" joinstyle="round"/>
                      <v:imagedata o:title=""/>
                      <o:lock v:ext="edit" aspectratio="f"/>
                    </v:line>
                  </w:pict>
                </mc:Fallback>
              </mc:AlternateContent>
            </w:r>
            <w:r>
              <w:rPr>
                <w:rFonts w:hint="eastAsia" w:ascii="宋体" w:hAnsi="宋体"/>
                <w:b/>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641350</wp:posOffset>
                      </wp:positionH>
                      <wp:positionV relativeFrom="paragraph">
                        <wp:posOffset>244475</wp:posOffset>
                      </wp:positionV>
                      <wp:extent cx="1205865" cy="635"/>
                      <wp:effectExtent l="0" t="0" r="0" b="0"/>
                      <wp:wrapNone/>
                      <wp:docPr id="2" name="直线 2"/>
                      <wp:cNvGraphicFramePr/>
                      <a:graphic xmlns:a="http://schemas.openxmlformats.org/drawingml/2006/main">
                        <a:graphicData uri="http://schemas.microsoft.com/office/word/2010/wordprocessingShape">
                          <wps:wsp>
                            <wps:cNvCnPr/>
                            <wps:spPr>
                              <a:xfrm flipV="1">
                                <a:off x="0" y="0"/>
                                <a:ext cx="120586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 2" o:spid="_x0000_s1026" o:spt="32" type="#_x0000_t32" style="position:absolute;left:0pt;flip:y;margin-left:50.5pt;margin-top:19.25pt;height:0.05pt;width:94.95pt;z-index:251660288;mso-width-relative:page;mso-height-relative:page;" filled="f" stroked="t" coordsize="21600,21600" o:gfxdata="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qQ3rWAAAACQEAAA8AAAAAAAAAAQAgAAAAIgAAAGRycy9kb3ducmV2LnhtbFBLAQIUABQAAAAI&#10;AIdO4kCCH9TH7wEAAOkDAAAOAAAAAAAAAAEAIAAAACUBAABkcnMvZTJvRG9jLnhtbFBLBQYAAAAA&#10;BgAGAFkBAACGBQAAAAA=&#10;">
                      <v:fill on="f" focussize="0,0"/>
                      <v:stroke color="#000000" joinstyle="round"/>
                      <v:imagedata o:title=""/>
                      <o:lock v:ext="edit" aspectratio="f"/>
                    </v:shape>
                  </w:pict>
                </mc:Fallback>
              </mc:AlternateContent>
            </w:r>
            <w:r>
              <w:rPr>
                <w:rFonts w:hint="eastAsia" w:ascii="宋体" w:hAnsi="宋体"/>
                <w:b/>
                <w:color w:val="auto"/>
                <w:sz w:val="24"/>
                <w:highlight w:val="none"/>
              </w:rPr>
              <w:t>投标报价 - 基准价</w:t>
            </w:r>
          </w:p>
          <w:p>
            <w:pPr>
              <w:spacing w:line="28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L=                      ×100%</w:t>
            </w:r>
          </w:p>
          <w:p>
            <w:pPr>
              <w:spacing w:line="280" w:lineRule="exact"/>
              <w:ind w:firstLine="959" w:firstLineChars="398"/>
              <w:jc w:val="left"/>
              <w:rPr>
                <w:rFonts w:ascii="宋体" w:hAnsi="宋体"/>
                <w:b/>
                <w:color w:val="auto"/>
                <w:sz w:val="24"/>
                <w:highlight w:val="none"/>
              </w:rPr>
            </w:pPr>
            <w:r>
              <w:rPr>
                <w:rFonts w:hint="eastAsia" w:ascii="宋体" w:hAnsi="宋体"/>
                <w:b/>
                <w:color w:val="auto"/>
                <w:sz w:val="24"/>
                <w:highlight w:val="none"/>
              </w:rPr>
              <w:t xml:space="preserve">     基准价</w:t>
            </w:r>
          </w:p>
          <w:p>
            <w:pPr>
              <w:spacing w:line="280" w:lineRule="exact"/>
              <w:ind w:firstLine="959" w:firstLineChars="398"/>
              <w:jc w:val="left"/>
              <w:rPr>
                <w:rFonts w:ascii="宋体" w:hAnsi="宋体"/>
                <w:b/>
                <w:color w:val="auto"/>
                <w:sz w:val="24"/>
                <w:highlight w:val="none"/>
              </w:rPr>
            </w:pPr>
            <w:r>
              <w:rPr>
                <w:rFonts w:hint="eastAsia" w:ascii="宋体" w:hAnsi="宋体"/>
                <w:b/>
                <w:color w:val="auto"/>
                <w:sz w:val="24"/>
                <w:highlight w:val="none"/>
              </w:rPr>
              <w:t xml:space="preserve">             </w:t>
            </w:r>
          </w:p>
        </w:tc>
      </w:tr>
      <w:tr>
        <w:tblPrEx>
          <w:tblCellMar>
            <w:top w:w="0" w:type="dxa"/>
            <w:left w:w="0" w:type="dxa"/>
            <w:bottom w:w="0" w:type="dxa"/>
            <w:right w:w="0" w:type="dxa"/>
          </w:tblCellMar>
        </w:tblPrEx>
        <w:trPr>
          <w:trHeight w:val="781" w:hRule="atLeast"/>
          <w:jc w:val="center"/>
        </w:trPr>
        <w:tc>
          <w:tcPr>
            <w:tcW w:w="720" w:type="dxa"/>
            <w:tcBorders>
              <w:top w:val="nil"/>
              <w:left w:val="single" w:color="auto" w:sz="4" w:space="0"/>
              <w:bottom w:val="single" w:color="auto" w:sz="4" w:space="0"/>
              <w:right w:val="single" w:color="auto" w:sz="4" w:space="0"/>
            </w:tcBorders>
            <w:vAlign w:val="center"/>
          </w:tcPr>
          <w:p>
            <w:pPr>
              <w:spacing w:line="280" w:lineRule="exact"/>
              <w:jc w:val="center"/>
              <w:rPr>
                <w:rFonts w:ascii="宋体" w:hAnsi="宋体"/>
                <w:b/>
                <w:color w:val="auto"/>
                <w:sz w:val="24"/>
                <w:highlight w:val="none"/>
              </w:rPr>
            </w:pPr>
            <w:r>
              <w:rPr>
                <w:rFonts w:hint="eastAsia" w:ascii="宋体" w:hAnsi="宋体"/>
                <w:b/>
                <w:color w:val="auto"/>
                <w:sz w:val="24"/>
                <w:highlight w:val="none"/>
              </w:rPr>
              <w:t>2</w:t>
            </w:r>
          </w:p>
        </w:tc>
        <w:tc>
          <w:tcPr>
            <w:tcW w:w="1134" w:type="dxa"/>
            <w:vMerge w:val="continue"/>
            <w:tcBorders>
              <w:top w:val="nil"/>
              <w:left w:val="single" w:color="auto" w:sz="4" w:space="0"/>
              <w:bottom w:val="single" w:color="auto" w:sz="4" w:space="0"/>
              <w:right w:val="single" w:color="auto" w:sz="4" w:space="0"/>
            </w:tcBorders>
            <w:vAlign w:val="center"/>
          </w:tcPr>
          <w:p>
            <w:pPr>
              <w:spacing w:line="280" w:lineRule="exact"/>
              <w:rPr>
                <w:rFonts w:ascii="宋体" w:hAnsi="宋体"/>
                <w:b/>
                <w:color w:val="auto"/>
                <w:sz w:val="24"/>
                <w:highlight w:val="none"/>
              </w:rPr>
            </w:pPr>
          </w:p>
        </w:tc>
        <w:tc>
          <w:tcPr>
            <w:tcW w:w="2126" w:type="dxa"/>
            <w:tcBorders>
              <w:top w:val="nil"/>
              <w:left w:val="nil"/>
              <w:bottom w:val="single" w:color="auto" w:sz="4" w:space="0"/>
              <w:right w:val="single" w:color="auto" w:sz="4" w:space="0"/>
            </w:tcBorders>
            <w:vAlign w:val="center"/>
          </w:tcPr>
          <w:p>
            <w:pPr>
              <w:spacing w:line="280" w:lineRule="exact"/>
              <w:jc w:val="center"/>
              <w:rPr>
                <w:rFonts w:ascii="宋体" w:hAnsi="宋体"/>
                <w:b/>
                <w:color w:val="auto"/>
                <w:sz w:val="24"/>
                <w:highlight w:val="none"/>
              </w:rPr>
            </w:pPr>
            <w:r>
              <w:rPr>
                <w:rFonts w:hint="eastAsia" w:ascii="宋体" w:hAnsi="宋体"/>
                <w:b/>
                <w:color w:val="auto"/>
                <w:sz w:val="24"/>
                <w:highlight w:val="none"/>
              </w:rPr>
              <w:t>投标报价=基准价</w:t>
            </w:r>
          </w:p>
        </w:tc>
        <w:tc>
          <w:tcPr>
            <w:tcW w:w="1660" w:type="dxa"/>
            <w:tcBorders>
              <w:top w:val="nil"/>
              <w:left w:val="nil"/>
              <w:bottom w:val="single" w:color="auto" w:sz="4" w:space="0"/>
              <w:right w:val="single" w:color="auto" w:sz="4" w:space="0"/>
            </w:tcBorders>
            <w:vAlign w:val="center"/>
          </w:tcPr>
          <w:p>
            <w:pPr>
              <w:spacing w:line="280" w:lineRule="exact"/>
              <w:ind w:firstLine="275" w:firstLineChars="114"/>
              <w:rPr>
                <w:rFonts w:ascii="宋体" w:hAnsi="宋体"/>
                <w:b/>
                <w:color w:val="auto"/>
                <w:sz w:val="24"/>
                <w:highlight w:val="none"/>
              </w:rPr>
            </w:pPr>
            <w:r>
              <w:rPr>
                <w:rFonts w:hint="eastAsia" w:ascii="宋体" w:hAnsi="宋体"/>
                <w:b/>
                <w:color w:val="auto"/>
                <w:sz w:val="24"/>
                <w:highlight w:val="none"/>
              </w:rPr>
              <w:t>100</w:t>
            </w:r>
          </w:p>
        </w:tc>
        <w:tc>
          <w:tcPr>
            <w:tcW w:w="4367" w:type="dxa"/>
            <w:vMerge w:val="continue"/>
            <w:tcBorders>
              <w:top w:val="nil"/>
              <w:left w:val="single" w:color="auto" w:sz="4" w:space="0"/>
              <w:bottom w:val="single" w:color="auto" w:sz="4" w:space="0"/>
              <w:right w:val="single" w:color="auto" w:sz="4" w:space="0"/>
            </w:tcBorders>
            <w:vAlign w:val="center"/>
          </w:tcPr>
          <w:p>
            <w:pPr>
              <w:spacing w:line="280" w:lineRule="exact"/>
              <w:rPr>
                <w:rFonts w:ascii="宋体" w:hAnsi="宋体"/>
                <w:b/>
                <w:color w:val="auto"/>
                <w:sz w:val="24"/>
                <w:highlight w:val="none"/>
              </w:rPr>
            </w:pPr>
          </w:p>
        </w:tc>
      </w:tr>
      <w:tr>
        <w:tblPrEx>
          <w:tblCellMar>
            <w:top w:w="0" w:type="dxa"/>
            <w:left w:w="0" w:type="dxa"/>
            <w:bottom w:w="0" w:type="dxa"/>
            <w:right w:w="0" w:type="dxa"/>
          </w:tblCellMar>
        </w:tblPrEx>
        <w:trPr>
          <w:trHeight w:val="681" w:hRule="atLeast"/>
          <w:jc w:val="center"/>
        </w:trPr>
        <w:tc>
          <w:tcPr>
            <w:tcW w:w="720" w:type="dxa"/>
            <w:tcBorders>
              <w:top w:val="nil"/>
              <w:left w:val="single" w:color="auto" w:sz="4" w:space="0"/>
              <w:bottom w:val="single" w:color="auto" w:sz="4" w:space="0"/>
              <w:right w:val="single" w:color="auto" w:sz="4" w:space="0"/>
            </w:tcBorders>
            <w:vAlign w:val="center"/>
          </w:tcPr>
          <w:p>
            <w:pPr>
              <w:spacing w:line="280" w:lineRule="exact"/>
              <w:jc w:val="center"/>
              <w:rPr>
                <w:rFonts w:ascii="宋体" w:hAnsi="宋体"/>
                <w:b/>
                <w:color w:val="auto"/>
                <w:sz w:val="24"/>
                <w:highlight w:val="none"/>
              </w:rPr>
            </w:pPr>
            <w:r>
              <w:rPr>
                <w:rFonts w:hint="eastAsia" w:ascii="宋体" w:hAnsi="宋体"/>
                <w:b/>
                <w:color w:val="auto"/>
                <w:sz w:val="24"/>
                <w:highlight w:val="none"/>
              </w:rPr>
              <w:t>3</w:t>
            </w:r>
          </w:p>
        </w:tc>
        <w:tc>
          <w:tcPr>
            <w:tcW w:w="1134" w:type="dxa"/>
            <w:vMerge w:val="continue"/>
            <w:tcBorders>
              <w:top w:val="nil"/>
              <w:left w:val="single" w:color="auto" w:sz="4" w:space="0"/>
              <w:bottom w:val="single" w:color="auto" w:sz="4" w:space="0"/>
              <w:right w:val="single" w:color="auto" w:sz="4" w:space="0"/>
            </w:tcBorders>
            <w:vAlign w:val="center"/>
          </w:tcPr>
          <w:p>
            <w:pPr>
              <w:spacing w:line="280" w:lineRule="exact"/>
              <w:rPr>
                <w:rFonts w:ascii="宋体" w:hAnsi="宋体"/>
                <w:b/>
                <w:color w:val="auto"/>
                <w:sz w:val="24"/>
                <w:highlight w:val="none"/>
              </w:rPr>
            </w:pPr>
          </w:p>
        </w:tc>
        <w:tc>
          <w:tcPr>
            <w:tcW w:w="2126" w:type="dxa"/>
            <w:tcBorders>
              <w:top w:val="nil"/>
              <w:left w:val="nil"/>
              <w:bottom w:val="single" w:color="auto" w:sz="4" w:space="0"/>
              <w:right w:val="single" w:color="auto" w:sz="4" w:space="0"/>
            </w:tcBorders>
            <w:vAlign w:val="center"/>
          </w:tcPr>
          <w:p>
            <w:pPr>
              <w:spacing w:line="280" w:lineRule="exact"/>
              <w:jc w:val="center"/>
              <w:rPr>
                <w:rFonts w:ascii="宋体" w:hAnsi="宋体"/>
                <w:b/>
                <w:color w:val="auto"/>
                <w:sz w:val="24"/>
                <w:highlight w:val="none"/>
              </w:rPr>
            </w:pPr>
            <w:r>
              <w:rPr>
                <w:rFonts w:hint="eastAsia" w:ascii="宋体" w:hAnsi="宋体"/>
                <w:b/>
                <w:color w:val="auto"/>
                <w:sz w:val="24"/>
                <w:highlight w:val="none"/>
              </w:rPr>
              <w:t>投标报价＜基准价</w:t>
            </w:r>
          </w:p>
        </w:tc>
        <w:tc>
          <w:tcPr>
            <w:tcW w:w="1660" w:type="dxa"/>
            <w:tcBorders>
              <w:top w:val="nil"/>
              <w:left w:val="nil"/>
              <w:bottom w:val="single" w:color="auto" w:sz="4" w:space="0"/>
              <w:right w:val="single" w:color="auto" w:sz="4" w:space="0"/>
            </w:tcBorders>
            <w:vAlign w:val="center"/>
          </w:tcPr>
          <w:p>
            <w:pPr>
              <w:spacing w:line="280" w:lineRule="exact"/>
              <w:jc w:val="center"/>
              <w:rPr>
                <w:rFonts w:ascii="宋体" w:hAnsi="宋体"/>
                <w:b/>
                <w:color w:val="auto"/>
                <w:sz w:val="24"/>
                <w:highlight w:val="none"/>
              </w:rPr>
            </w:pPr>
            <w:r>
              <w:rPr>
                <w:rFonts w:hint="eastAsia" w:ascii="宋体" w:hAnsi="宋体"/>
                <w:b/>
                <w:color w:val="auto"/>
                <w:sz w:val="24"/>
                <w:highlight w:val="none"/>
              </w:rPr>
              <w:t>100-0.5</w:t>
            </w:r>
            <w:r>
              <w:rPr>
                <w:rFonts w:hint="eastAsia" w:ascii="宋体" w:hAnsi="宋体"/>
                <w:color w:val="auto"/>
                <w:sz w:val="24"/>
                <w:highlight w:val="none"/>
              </w:rPr>
              <w:t>×</w:t>
            </w:r>
            <w:r>
              <w:rPr>
                <w:rFonts w:hint="eastAsia" w:ascii="宋体" w:hAnsi="宋体"/>
                <w:b/>
                <w:color w:val="auto"/>
                <w:sz w:val="24"/>
                <w:highlight w:val="none"/>
              </w:rPr>
              <w:t>100L</w:t>
            </w:r>
          </w:p>
        </w:tc>
        <w:tc>
          <w:tcPr>
            <w:tcW w:w="4367" w:type="dxa"/>
            <w:vMerge w:val="continue"/>
            <w:tcBorders>
              <w:top w:val="nil"/>
              <w:left w:val="single" w:color="auto" w:sz="4" w:space="0"/>
              <w:bottom w:val="single" w:color="auto" w:sz="4" w:space="0"/>
              <w:right w:val="single" w:color="auto" w:sz="4" w:space="0"/>
            </w:tcBorders>
            <w:vAlign w:val="center"/>
          </w:tcPr>
          <w:p>
            <w:pPr>
              <w:spacing w:line="280" w:lineRule="exact"/>
              <w:rPr>
                <w:rFonts w:ascii="宋体" w:hAnsi="宋体"/>
                <w:b/>
                <w:color w:val="auto"/>
                <w:sz w:val="24"/>
                <w:highlight w:val="none"/>
              </w:rPr>
            </w:pPr>
          </w:p>
        </w:tc>
      </w:tr>
    </w:tbl>
    <w:p>
      <w:pPr>
        <w:widowControl/>
        <w:shd w:val="clear" w:color="auto" w:fill="FFFFFF"/>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基准价： Y= A×(1-α) ×60%+B×(1-β)×40%</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其中： A——进入报价评审环节的有效投标报价中，大于或等于X（1－10%）的报价的算术平均值</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X——进入报价评审环节的有效投标报价的算术平均值 </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X=（X</w:t>
      </w:r>
      <w:r>
        <w:rPr>
          <w:rFonts w:hint="eastAsia" w:ascii="宋体" w:hAnsi="宋体" w:eastAsia="宋体" w:cs="宋体"/>
          <w:bCs/>
          <w:color w:val="auto"/>
          <w:kern w:val="0"/>
          <w:sz w:val="24"/>
          <w:highlight w:val="none"/>
          <w:vertAlign w:val="subscript"/>
        </w:rPr>
        <w:t>1</w:t>
      </w:r>
      <w:r>
        <w:rPr>
          <w:rFonts w:hint="eastAsia" w:ascii="宋体" w:hAnsi="宋体" w:eastAsia="宋体" w:cs="宋体"/>
          <w:color w:val="auto"/>
          <w:sz w:val="24"/>
          <w:highlight w:val="none"/>
        </w:rPr>
        <w:t>+X</w:t>
      </w:r>
      <w:r>
        <w:rPr>
          <w:rFonts w:hint="eastAsia" w:ascii="宋体" w:hAnsi="宋体" w:eastAsia="宋体" w:cs="宋体"/>
          <w:bCs/>
          <w:color w:val="auto"/>
          <w:kern w:val="0"/>
          <w:sz w:val="24"/>
          <w:highlight w:val="none"/>
          <w:vertAlign w:val="subscript"/>
        </w:rPr>
        <w:t>2</w:t>
      </w:r>
      <w:r>
        <w:rPr>
          <w:rFonts w:hint="eastAsia" w:ascii="宋体" w:hAnsi="宋体" w:eastAsia="宋体" w:cs="宋体"/>
          <w:color w:val="auto"/>
          <w:sz w:val="24"/>
          <w:highlight w:val="none"/>
        </w:rPr>
        <w:t>+……X</w:t>
      </w:r>
      <w:r>
        <w:rPr>
          <w:rFonts w:hint="eastAsia" w:ascii="宋体" w:hAnsi="宋体" w:eastAsia="宋体" w:cs="宋体"/>
          <w:bCs/>
          <w:color w:val="auto"/>
          <w:kern w:val="0"/>
          <w:sz w:val="24"/>
          <w:highlight w:val="none"/>
          <w:vertAlign w:val="subscript"/>
        </w:rPr>
        <w:t>n-1</w:t>
      </w:r>
      <w:r>
        <w:rPr>
          <w:rFonts w:hint="eastAsia" w:ascii="宋体" w:hAnsi="宋体" w:eastAsia="宋体" w:cs="宋体"/>
          <w:color w:val="auto"/>
          <w:sz w:val="24"/>
          <w:highlight w:val="none"/>
        </w:rPr>
        <w:t>+X</w:t>
      </w:r>
      <w:r>
        <w:rPr>
          <w:rFonts w:hint="eastAsia" w:ascii="宋体" w:hAnsi="宋体" w:eastAsia="宋体" w:cs="宋体"/>
          <w:bCs/>
          <w:color w:val="auto"/>
          <w:kern w:val="0"/>
          <w:sz w:val="24"/>
          <w:highlight w:val="none"/>
          <w:vertAlign w:val="subscript"/>
        </w:rPr>
        <w:t>n</w:t>
      </w:r>
      <w:r>
        <w:rPr>
          <w:rFonts w:hint="eastAsia" w:ascii="宋体" w:hAnsi="宋体" w:eastAsia="宋体" w:cs="宋体"/>
          <w:color w:val="auto"/>
          <w:sz w:val="24"/>
          <w:highlight w:val="none"/>
        </w:rPr>
        <w:t>）／n </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n——进入报价评审环节的投标人个数</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X</w:t>
      </w:r>
      <w:r>
        <w:rPr>
          <w:rFonts w:hint="eastAsia" w:ascii="宋体" w:hAnsi="宋体" w:eastAsia="宋体" w:cs="宋体"/>
          <w:bCs/>
          <w:color w:val="auto"/>
          <w:kern w:val="0"/>
          <w:sz w:val="24"/>
          <w:highlight w:val="none"/>
          <w:vertAlign w:val="subscript"/>
        </w:rPr>
        <w:t>1</w:t>
      </w:r>
      <w:r>
        <w:rPr>
          <w:rFonts w:hint="eastAsia" w:ascii="宋体" w:hAnsi="宋体" w:eastAsia="宋体" w:cs="宋体"/>
          <w:color w:val="auto"/>
          <w:sz w:val="24"/>
          <w:highlight w:val="none"/>
        </w:rPr>
        <w:t>、X</w:t>
      </w:r>
      <w:r>
        <w:rPr>
          <w:rFonts w:hint="eastAsia" w:ascii="宋体" w:hAnsi="宋体" w:eastAsia="宋体" w:cs="宋体"/>
          <w:bCs/>
          <w:color w:val="auto"/>
          <w:kern w:val="0"/>
          <w:sz w:val="24"/>
          <w:highlight w:val="none"/>
          <w:vertAlign w:val="subscript"/>
        </w:rPr>
        <w:t>2</w:t>
      </w:r>
      <w:r>
        <w:rPr>
          <w:rFonts w:hint="eastAsia" w:ascii="宋体" w:hAnsi="宋体" w:eastAsia="宋体" w:cs="宋体"/>
          <w:color w:val="auto"/>
          <w:sz w:val="24"/>
          <w:highlight w:val="none"/>
        </w:rPr>
        <w:t>、X</w:t>
      </w:r>
      <w:r>
        <w:rPr>
          <w:rFonts w:hint="eastAsia" w:ascii="宋体" w:hAnsi="宋体" w:eastAsia="宋体" w:cs="宋体"/>
          <w:bCs/>
          <w:color w:val="auto"/>
          <w:kern w:val="0"/>
          <w:sz w:val="24"/>
          <w:highlight w:val="none"/>
          <w:vertAlign w:val="subscript"/>
        </w:rPr>
        <w:t>n-1</w:t>
      </w:r>
      <w:r>
        <w:rPr>
          <w:rFonts w:hint="eastAsia" w:ascii="宋体" w:hAnsi="宋体" w:eastAsia="宋体" w:cs="宋体"/>
          <w:color w:val="auto"/>
          <w:sz w:val="24"/>
          <w:highlight w:val="none"/>
        </w:rPr>
        <w:t>、X</w:t>
      </w:r>
      <w:r>
        <w:rPr>
          <w:rFonts w:hint="eastAsia" w:ascii="宋体" w:hAnsi="宋体" w:eastAsia="宋体" w:cs="宋体"/>
          <w:bCs/>
          <w:color w:val="auto"/>
          <w:kern w:val="0"/>
          <w:sz w:val="24"/>
          <w:highlight w:val="none"/>
          <w:vertAlign w:val="subscript"/>
        </w:rPr>
        <w:t>n</w:t>
      </w:r>
      <w:r>
        <w:rPr>
          <w:rFonts w:hint="eastAsia" w:ascii="宋体" w:hAnsi="宋体" w:eastAsia="宋体" w:cs="宋体"/>
          <w:color w:val="auto"/>
          <w:sz w:val="24"/>
          <w:highlight w:val="none"/>
        </w:rPr>
        <w:t>——进入报价评审环节的投标人的有效投标报价</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B——最高投标限价</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α——0、1%、2%、3%、4%，开标时随机抽取确定；</w:t>
      </w:r>
    </w:p>
    <w:p>
      <w:pPr>
        <w:widowControl/>
        <w:shd w:val="clear" w:color="auto" w:fill="FFFFFF"/>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β—— 4%、5%、6%、7%、8%，开标时随机抽取确定。</w:t>
      </w:r>
    </w:p>
    <w:p>
      <w:pPr>
        <w:rPr>
          <w:rFonts w:hint="eastAsia" w:ascii="宋体" w:hAnsi="宋体" w:eastAsia="宋体" w:cs="宋体"/>
          <w:color w:val="auto"/>
          <w:highlight w:val="none"/>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仿宋_GB2312"/>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bookmarkStart w:id="6" w:name="_GoBack"/>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bookmarkEnd w:id="6"/>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AC5C5"/>
    <w:multiLevelType w:val="singleLevel"/>
    <w:tmpl w:val="CACAC5C5"/>
    <w:lvl w:ilvl="0" w:tentative="0">
      <w:start w:val="1"/>
      <w:numFmt w:val="decimal"/>
      <w:suff w:val="nothing"/>
      <w:lvlText w:val="%1、"/>
      <w:lvlJc w:val="left"/>
    </w:lvl>
  </w:abstractNum>
  <w:abstractNum w:abstractNumId="1">
    <w:nsid w:val="E464D7A4"/>
    <w:multiLevelType w:val="singleLevel"/>
    <w:tmpl w:val="E464D7A4"/>
    <w:lvl w:ilvl="0" w:tentative="0">
      <w:start w:val="1"/>
      <w:numFmt w:val="decimal"/>
      <w:suff w:val="nothing"/>
      <w:lvlText w:val="%1、"/>
      <w:lvlJc w:val="left"/>
    </w:lvl>
  </w:abstractNum>
  <w:abstractNum w:abstractNumId="2">
    <w:nsid w:val="E8990275"/>
    <w:multiLevelType w:val="singleLevel"/>
    <w:tmpl w:val="E8990275"/>
    <w:lvl w:ilvl="0" w:tentative="0">
      <w:start w:val="1"/>
      <w:numFmt w:val="decimal"/>
      <w:suff w:val="nothing"/>
      <w:lvlText w:val="%1、"/>
      <w:lvlJc w:val="left"/>
    </w:lvl>
  </w:abstractNum>
  <w:abstractNum w:abstractNumId="3">
    <w:nsid w:val="EC16381B"/>
    <w:multiLevelType w:val="singleLevel"/>
    <w:tmpl w:val="EC16381B"/>
    <w:lvl w:ilvl="0" w:tentative="0">
      <w:start w:val="1"/>
      <w:numFmt w:val="decimal"/>
      <w:suff w:val="nothing"/>
      <w:lvlText w:val="%1、"/>
      <w:lvlJc w:val="left"/>
    </w:lvl>
  </w:abstractNum>
  <w:abstractNum w:abstractNumId="4">
    <w:nsid w:val="FBFEBB22"/>
    <w:multiLevelType w:val="singleLevel"/>
    <w:tmpl w:val="FBFEBB22"/>
    <w:lvl w:ilvl="0" w:tentative="0">
      <w:start w:val="1"/>
      <w:numFmt w:val="decimal"/>
      <w:suff w:val="nothing"/>
      <w:lvlText w:val="%1、"/>
      <w:lvlJc w:val="left"/>
    </w:lvl>
  </w:abstractNum>
  <w:abstractNum w:abstractNumId="5">
    <w:nsid w:val="3E7F97BD"/>
    <w:multiLevelType w:val="singleLevel"/>
    <w:tmpl w:val="3E7F97BD"/>
    <w:lvl w:ilvl="0" w:tentative="0">
      <w:start w:val="1"/>
      <w:numFmt w:val="decimal"/>
      <w:suff w:val="nothing"/>
      <w:lvlText w:val="%1、"/>
      <w:lvlJc w:val="left"/>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NmYxNzRmZmJmZWZlZGE5Mzk4NDEwYjI1MWY2NTEifQ=="/>
  </w:docVars>
  <w:rsids>
    <w:rsidRoot w:val="00000000"/>
    <w:rsid w:val="019D5FB1"/>
    <w:rsid w:val="02D76D38"/>
    <w:rsid w:val="0A2409A3"/>
    <w:rsid w:val="0AB11830"/>
    <w:rsid w:val="0E9933E7"/>
    <w:rsid w:val="12B72298"/>
    <w:rsid w:val="14A4151B"/>
    <w:rsid w:val="1C40717A"/>
    <w:rsid w:val="1DF1712F"/>
    <w:rsid w:val="22A9355B"/>
    <w:rsid w:val="26543DAF"/>
    <w:rsid w:val="26BA3E92"/>
    <w:rsid w:val="289526DA"/>
    <w:rsid w:val="2A004249"/>
    <w:rsid w:val="2C0B050E"/>
    <w:rsid w:val="2D523390"/>
    <w:rsid w:val="3341286A"/>
    <w:rsid w:val="3D0806A4"/>
    <w:rsid w:val="3DB96D33"/>
    <w:rsid w:val="402A56A2"/>
    <w:rsid w:val="40705268"/>
    <w:rsid w:val="4262257B"/>
    <w:rsid w:val="49AE7BA1"/>
    <w:rsid w:val="53F03344"/>
    <w:rsid w:val="54533B98"/>
    <w:rsid w:val="5C885999"/>
    <w:rsid w:val="60C51B81"/>
    <w:rsid w:val="617A7CE6"/>
    <w:rsid w:val="6329464F"/>
    <w:rsid w:val="636074C2"/>
    <w:rsid w:val="69D364AE"/>
    <w:rsid w:val="6CBD1AE4"/>
    <w:rsid w:val="6CBE0DC3"/>
    <w:rsid w:val="77614586"/>
    <w:rsid w:val="7BE8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2024-03-01T02:55:00Z</dcterms:created>
  <dc:creator>ttlan</dc:creator>
  <cp:lastModifiedBy>李蓝天</cp:lastModifiedBy>
  <cp:lastPrinted>2024-05-07T02:05:27Z</cp:lastPrinted>
  <dcterms:modified xsi:type="dcterms:W3CDTF">2024-05-07T02:17:15Z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5FE2DC3D0D534C6AA2DDAFF188E4DD59_13</vt:lpwstr>
  </property>
</Properties>
</file>