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Times New Roman" w:eastAsia="黑体"/>
          <w:color w:val="auto"/>
          <w:sz w:val="32"/>
          <w:highlight w:val="none"/>
        </w:rPr>
      </w:pPr>
      <w:r>
        <w:rPr>
          <w:rFonts w:hint="eastAsia" w:ascii="黑体" w:hAnsi="Times New Roman" w:eastAsia="黑体"/>
          <w:color w:val="auto"/>
          <w:sz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经评审的最低投标价法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Times New Roman" w:eastAsia="黑体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Times New Roman" w:eastAsia="黑体"/>
          <w:color w:val="auto"/>
          <w:sz w:val="32"/>
          <w:highlight w:val="none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仿宋_GB2312" w:hAnsi="仿宋_GB2312" w:eastAsia="仿宋_GB2312"/>
          <w:color w:val="auto"/>
          <w:sz w:val="32"/>
          <w:highlight w:val="none"/>
        </w:rPr>
        <w:t>具有通用技术、性能标准或者招标人对其技术、性能没有特殊要求的工程。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仿宋_GB2312" w:hAnsi="仿宋_GB2312" w:eastAsia="仿宋_GB2312"/>
          <w:color w:val="auto"/>
          <w:sz w:val="32"/>
          <w:highlight w:val="none"/>
        </w:rPr>
        <w:t>（一）符合下列情形之一的，采用经评审的最低投标价法：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1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 xml:space="preserve">. </w:t>
      </w:r>
      <w:r>
        <w:rPr>
          <w:rFonts w:ascii="仿宋_GB2312" w:hAnsi="仿宋_GB2312" w:eastAsia="仿宋_GB2312"/>
          <w:color w:val="auto"/>
          <w:sz w:val="32"/>
          <w:highlight w:val="none"/>
        </w:rPr>
        <w:t>施工总承包工程单项最高投标限价在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2000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万元以下的；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2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 xml:space="preserve"> </w:t>
      </w:r>
      <w:r>
        <w:rPr>
          <w:rFonts w:ascii="仿宋_GB2312" w:hAnsi="仿宋_GB2312" w:eastAsia="仿宋_GB2312"/>
          <w:color w:val="auto"/>
          <w:sz w:val="32"/>
          <w:highlight w:val="none"/>
        </w:rPr>
        <w:t>专业承包工程单项最高投标限价在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800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万元以下的。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仿宋_GB2312" w:hAnsi="仿宋_GB2312" w:eastAsia="仿宋_GB2312"/>
          <w:color w:val="auto"/>
          <w:sz w:val="32"/>
          <w:highlight w:val="none"/>
        </w:rPr>
        <w:t>（二）符合下列情形之一的，可以采用经评审的最低投标价法：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1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 xml:space="preserve">. </w:t>
      </w:r>
      <w:r>
        <w:rPr>
          <w:rFonts w:ascii="仿宋_GB2312" w:hAnsi="仿宋_GB2312" w:eastAsia="仿宋_GB2312"/>
          <w:color w:val="auto"/>
          <w:sz w:val="32"/>
          <w:highlight w:val="none"/>
        </w:rPr>
        <w:t>施工总承包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工程</w:t>
      </w:r>
      <w:r>
        <w:rPr>
          <w:rFonts w:ascii="仿宋_GB2312" w:hAnsi="仿宋_GB2312" w:eastAsia="仿宋_GB2312"/>
          <w:color w:val="auto"/>
          <w:sz w:val="32"/>
          <w:highlight w:val="none"/>
        </w:rPr>
        <w:t>单项最高投标限价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超过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2000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万元至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5000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万元以下的；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2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 xml:space="preserve">. </w:t>
      </w:r>
      <w:r>
        <w:rPr>
          <w:rFonts w:ascii="仿宋_GB2312" w:hAnsi="仿宋_GB2312" w:eastAsia="仿宋_GB2312"/>
          <w:color w:val="auto"/>
          <w:sz w:val="32"/>
          <w:highlight w:val="none"/>
        </w:rPr>
        <w:t>专业承包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工程</w:t>
      </w:r>
      <w:r>
        <w:rPr>
          <w:rFonts w:ascii="仿宋_GB2312" w:hAnsi="仿宋_GB2312" w:eastAsia="仿宋_GB2312"/>
          <w:color w:val="auto"/>
          <w:sz w:val="32"/>
          <w:highlight w:val="none"/>
        </w:rPr>
        <w:t>单项最高投标限价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超过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800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万元至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1500</w:t>
      </w:r>
      <w:r>
        <w:rPr>
          <w:rFonts w:ascii="仿宋_GB2312" w:hAnsi="仿宋_GB2312" w:eastAsia="仿宋_GB2312"/>
          <w:color w:val="auto"/>
          <w:sz w:val="32"/>
          <w:highlight w:val="none"/>
        </w:rPr>
        <w:t>万元以下的。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Times New Roman" w:eastAsia="黑体"/>
          <w:color w:val="auto"/>
          <w:sz w:val="32"/>
          <w:highlight w:val="none"/>
        </w:rPr>
      </w:pPr>
      <w:r>
        <w:rPr>
          <w:rFonts w:hint="eastAsia" w:ascii="黑体" w:hAnsi="Times New Roman" w:eastAsia="黑体"/>
          <w:color w:val="auto"/>
          <w:sz w:val="32"/>
          <w:highlight w:val="none"/>
        </w:rPr>
        <w:t>二、评审程序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评审程序如下：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1．施工组织设计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评审。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按照本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暂行办法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第十六条以及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相关评审表格和招标文件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进行评审。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2．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按照本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暂行办法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条至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第十四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条以及招标文件规定，对投标文件的形式、投标人资格和实质性响应招标文件情况进行评审。对不符合相关规定和要求的投标文件予以否决。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3．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业绩及信用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评审。按照本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暂行办法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十八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十九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条以及相关评审表格和招标文件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进行评审。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 按照本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暂行办法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第十五条确定进入下一步评审的投标人。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5．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报价评审。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5.1按照本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暂行办法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条至第二十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条的规定进行评审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对报价低于成本的投标人予以否决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5.2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按照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附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5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计算本次报价评审基准价，计算各投标人投标报价得分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如进入投标报价评审的所有投标人投标报价得分均为0分的，重新招标。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6</w:t>
      </w:r>
      <w:r>
        <w:rPr>
          <w:rFonts w:ascii="仿宋_GB2312" w:hAnsi="仿宋_GB2312" w:eastAsia="仿宋_GB2312"/>
          <w:color w:val="auto"/>
          <w:sz w:val="32"/>
          <w:highlight w:val="none"/>
        </w:rPr>
        <w:t>．汇总评分结果。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C= J</w:t>
      </w:r>
      <w:r>
        <w:rPr>
          <w:rFonts w:ascii="Times New Roman" w:hAnsi="Times New Roman" w:eastAsia="仿宋_GB2312"/>
          <w:color w:val="auto"/>
          <w:sz w:val="32"/>
          <w:highlight w:val="none"/>
          <w:vertAlign w:val="subscript"/>
        </w:rPr>
        <w:t>1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×G+J</w:t>
      </w:r>
      <w:r>
        <w:rPr>
          <w:rFonts w:ascii="Times New Roman" w:hAnsi="Times New Roman" w:eastAsia="仿宋_GB2312"/>
          <w:color w:val="auto"/>
          <w:sz w:val="32"/>
          <w:highlight w:val="none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×H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仿宋_GB2312" w:hAnsi="仿宋_GB2312" w:eastAsia="仿宋_GB2312"/>
          <w:color w:val="auto"/>
          <w:sz w:val="32"/>
          <w:highlight w:val="none"/>
        </w:rPr>
        <w:t>其中：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C——</w:t>
      </w:r>
      <w:r>
        <w:rPr>
          <w:rFonts w:ascii="仿宋_GB2312" w:hAnsi="仿宋_GB2312" w:eastAsia="仿宋_GB2312"/>
          <w:color w:val="auto"/>
          <w:sz w:val="32"/>
          <w:highlight w:val="none"/>
        </w:rPr>
        <w:t>评标总得分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eastAsia="仿宋_GB2312" w:cs="宋体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G——</w:t>
      </w:r>
      <w:r>
        <w:rPr>
          <w:rFonts w:hint="eastAsia" w:ascii="仿宋_GB2312" w:hAnsi="Times New Roman" w:eastAsia="仿宋_GB2312"/>
          <w:color w:val="auto"/>
          <w:sz w:val="32"/>
          <w:highlight w:val="none"/>
        </w:rPr>
        <w:t>业绩及信用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H——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投标</w:t>
      </w:r>
      <w:r>
        <w:rPr>
          <w:rFonts w:ascii="仿宋_GB2312" w:hAnsi="仿宋_GB2312" w:eastAsia="仿宋_GB2312"/>
          <w:color w:val="auto"/>
          <w:sz w:val="32"/>
          <w:highlight w:val="none"/>
        </w:rPr>
        <w:t>报价评审得分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highlight w:val="none"/>
        </w:rPr>
        <w:t>J</w:t>
      </w:r>
      <w:r>
        <w:rPr>
          <w:rFonts w:ascii="Times New Roman" w:hAnsi="Times New Roman" w:eastAsia="仿宋_GB2312"/>
          <w:color w:val="auto"/>
          <w:sz w:val="32"/>
          <w:highlight w:val="none"/>
          <w:vertAlign w:val="subscript"/>
        </w:rPr>
        <w:t>1</w:t>
      </w:r>
      <w:r>
        <w:rPr>
          <w:rFonts w:ascii="仿宋_GB2312" w:hAnsi="仿宋_GB2312" w:eastAsia="仿宋_GB2312"/>
          <w:color w:val="auto"/>
          <w:sz w:val="32"/>
          <w:highlight w:val="none"/>
        </w:rPr>
        <w:t>、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J</w:t>
      </w:r>
      <w:r>
        <w:rPr>
          <w:rFonts w:ascii="Times New Roman" w:hAnsi="Times New Roman" w:eastAsia="仿宋_GB2312"/>
          <w:color w:val="auto"/>
          <w:sz w:val="32"/>
          <w:highlight w:val="none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——</w:t>
      </w:r>
      <w:r>
        <w:rPr>
          <w:rFonts w:ascii="仿宋_GB2312" w:hAnsi="仿宋_GB2312" w:eastAsia="仿宋_GB2312"/>
          <w:color w:val="auto"/>
          <w:sz w:val="32"/>
          <w:highlight w:val="none"/>
        </w:rPr>
        <w:t>各项评审因素的权重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Times New Roman" w:eastAsia="黑体"/>
          <w:color w:val="auto"/>
          <w:sz w:val="32"/>
          <w:highlight w:val="none"/>
        </w:rPr>
      </w:pPr>
      <w:r>
        <w:rPr>
          <w:rFonts w:hint="eastAsia" w:ascii="黑体" w:hAnsi="Times New Roman" w:eastAsia="黑体"/>
          <w:color w:val="auto"/>
          <w:sz w:val="32"/>
          <w:highlight w:val="none"/>
          <w:lang w:val="en-US" w:eastAsia="zh-CN"/>
        </w:rPr>
        <w:t>三</w:t>
      </w:r>
      <w:r>
        <w:rPr>
          <w:rFonts w:hint="eastAsia" w:ascii="黑体" w:hAnsi="Times New Roman" w:eastAsia="黑体"/>
          <w:color w:val="auto"/>
          <w:sz w:val="32"/>
          <w:highlight w:val="none"/>
        </w:rPr>
        <w:t>、各项评审因素权重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</w:rPr>
        <w:t>招标人根据以下评审因素权重表在招标文件中明确评审因素权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780"/>
        <w:gridCol w:w="3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3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32"/>
                <w:highlight w:val="none"/>
              </w:rPr>
              <w:t>序号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32"/>
                <w:highlight w:val="none"/>
              </w:rPr>
              <w:t>评审因素</w:t>
            </w:r>
          </w:p>
        </w:tc>
        <w:tc>
          <w:tcPr>
            <w:tcW w:w="30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32"/>
                <w:highlight w:val="none"/>
              </w:rPr>
              <w:t>权</w:t>
            </w: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1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ascii="仿宋_GB2312" w:eastAsia="仿宋_GB2312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业绩及信用</w:t>
            </w:r>
            <w:r>
              <w:rPr>
                <w:rFonts w:ascii="Times New Roman" w:hAnsi="Times New Roman" w:eastAsia="仿宋_GB2312"/>
                <w:color w:val="auto"/>
                <w:sz w:val="32"/>
                <w:highlight w:val="none"/>
              </w:rPr>
              <w:t>J</w:t>
            </w:r>
            <w:r>
              <w:rPr>
                <w:rFonts w:ascii="Times New Roman" w:hAnsi="Times New Roman" w:eastAsia="仿宋_GB2312"/>
                <w:color w:val="auto"/>
                <w:sz w:val="32"/>
                <w:highlight w:val="none"/>
                <w:vertAlign w:val="subscript"/>
              </w:rPr>
              <w:t>1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strike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0.</w:t>
            </w:r>
            <w:r>
              <w:rPr>
                <w:rFonts w:ascii="仿宋_GB2312" w:hAnsi="Times New Roman" w:eastAsia="仿宋_GB2312"/>
                <w:color w:val="auto"/>
                <w:sz w:val="32"/>
                <w:highlight w:val="none"/>
              </w:rPr>
              <w:t>1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5—0.</w:t>
            </w:r>
            <w:r>
              <w:rPr>
                <w:rFonts w:ascii="仿宋_GB2312" w:hAnsi="Times New Roman" w:eastAsia="仿宋_GB2312"/>
                <w:color w:val="auto"/>
                <w:sz w:val="32"/>
                <w:highlight w:val="none"/>
              </w:rPr>
              <w:t>3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2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color w:val="auto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投标报价</w:t>
            </w:r>
            <w:r>
              <w:rPr>
                <w:rFonts w:ascii="Times New Roman" w:hAnsi="Times New Roman" w:eastAsia="仿宋_GB2312"/>
                <w:color w:val="auto"/>
                <w:sz w:val="32"/>
                <w:highlight w:val="none"/>
              </w:rPr>
              <w:t>J</w:t>
            </w:r>
            <w:r>
              <w:rPr>
                <w:rFonts w:ascii="Times New Roman" w:hAnsi="Times New Roman" w:eastAsia="仿宋_GB2312"/>
                <w:color w:val="auto"/>
                <w:sz w:val="32"/>
                <w:highlight w:val="none"/>
                <w:vertAlign w:val="subscript"/>
              </w:rPr>
              <w:t>2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strike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0.</w:t>
            </w:r>
            <w:r>
              <w:rPr>
                <w:rFonts w:ascii="仿宋_GB2312" w:hAnsi="Times New Roman" w:eastAsia="仿宋_GB2312"/>
                <w:color w:val="auto"/>
                <w:sz w:val="32"/>
                <w:highlight w:val="none"/>
              </w:rPr>
              <w:t>7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0—0.</w:t>
            </w:r>
            <w:r>
              <w:rPr>
                <w:rFonts w:ascii="仿宋_GB2312" w:hAnsi="Times New Roman" w:eastAsia="仿宋_GB2312"/>
                <w:color w:val="auto"/>
                <w:sz w:val="32"/>
                <w:highlight w:val="none"/>
              </w:rPr>
              <w:t>8</w:t>
            </w: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1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合  计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2"/>
                <w:highlight w:val="none"/>
              </w:rPr>
              <w:t>1</w:t>
            </w:r>
          </w:p>
        </w:tc>
      </w:tr>
    </w:tbl>
    <w:p>
      <w:pPr>
        <w:spacing w:line="520" w:lineRule="exact"/>
        <w:ind w:firstLine="640" w:firstLineChars="200"/>
        <w:rPr>
          <w:rFonts w:ascii="黑体" w:hAnsi="Times New Roman" w:eastAsia="黑体"/>
          <w:color w:val="auto"/>
          <w:sz w:val="32"/>
          <w:highlight w:val="none"/>
        </w:rPr>
      </w:pPr>
      <w:r>
        <w:rPr>
          <w:rFonts w:hint="eastAsia" w:ascii="黑体" w:hAnsi="Times New Roman" w:eastAsia="黑体"/>
          <w:color w:val="auto"/>
          <w:sz w:val="32"/>
          <w:highlight w:val="none"/>
          <w:lang w:val="en-US" w:eastAsia="zh-CN"/>
        </w:rPr>
        <w:t>四</w:t>
      </w:r>
      <w:r>
        <w:rPr>
          <w:rFonts w:hint="eastAsia" w:ascii="黑体" w:hAnsi="Times New Roman" w:eastAsia="黑体"/>
          <w:color w:val="auto"/>
          <w:sz w:val="32"/>
          <w:highlight w:val="none"/>
        </w:rPr>
        <w:t>、中标候选人的确定</w:t>
      </w:r>
    </w:p>
    <w:p>
      <w:pPr>
        <w:spacing w:line="520" w:lineRule="exact"/>
        <w:ind w:firstLine="640" w:firstLineChars="200"/>
      </w:pPr>
      <w:r>
        <w:rPr>
          <w:rFonts w:ascii="仿宋_GB2312" w:hAnsi="仿宋_GB2312" w:eastAsia="仿宋_GB2312"/>
          <w:color w:val="auto"/>
          <w:sz w:val="32"/>
          <w:highlight w:val="none"/>
        </w:rPr>
        <w:t>按照评标总得分从高至低确定投标人排序。根据招标文件的要求，推荐不超过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3</w:t>
      </w:r>
      <w:r>
        <w:rPr>
          <w:rFonts w:ascii="仿宋_GB2312" w:hAnsi="仿宋_GB2312" w:eastAsia="仿宋_GB2312"/>
          <w:color w:val="auto"/>
          <w:sz w:val="32"/>
          <w:highlight w:val="none"/>
        </w:rPr>
        <w:t>个有排序的中标候选人，招标人按照中标候选人的排序确定中标人。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210" w:rightChars="100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mYxNzRmZmJmZWZlZGE5Mzk4NDEwYjI1MWY2NTEifQ=="/>
  </w:docVars>
  <w:rsids>
    <w:rsidRoot w:val="00000000"/>
    <w:rsid w:val="040E27E3"/>
    <w:rsid w:val="04AB6B0D"/>
    <w:rsid w:val="05F468AC"/>
    <w:rsid w:val="08D30A24"/>
    <w:rsid w:val="0B4B2F6E"/>
    <w:rsid w:val="0B7B6D62"/>
    <w:rsid w:val="1D956CDD"/>
    <w:rsid w:val="1F8E58C7"/>
    <w:rsid w:val="3AB60E33"/>
    <w:rsid w:val="4B8D1332"/>
    <w:rsid w:val="4FDD0657"/>
    <w:rsid w:val="5CB0575F"/>
    <w:rsid w:val="72514A93"/>
    <w:rsid w:val="782D1AFA"/>
    <w:rsid w:val="7A201C3D"/>
    <w:rsid w:val="7B8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2024-03-01T03:59:00Z</dcterms:created>
  <dc:creator>ttlan</dc:creator>
  <cp:lastModifiedBy>李蓝天</cp:lastModifiedBy>
  <cp:lastPrinted>2024-03-20T08:01:00Z</cp:lastPrinted>
  <dcterms:modified xsi:type="dcterms:W3CDTF">2024-05-06T11:13:40Z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2B6C2CE43A5241BCA77734F850313937_12</vt:lpwstr>
  </property>
</Properties>
</file>